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43BA4" w14:textId="77777777" w:rsidR="00D536F2" w:rsidRDefault="00000000">
      <w:pPr>
        <w:spacing w:before="1480" w:after="160"/>
        <w:jc w:val="center"/>
      </w:pPr>
      <w:r>
        <w:rPr>
          <w:rFonts w:ascii="Aptos Display" w:hAnsi="Aptos Display"/>
          <w:b/>
          <w:color w:val="1F4D78"/>
          <w:sz w:val="24"/>
        </w:rPr>
        <w:t>THE ITM SPY REPLICATION PROJECT</w:t>
      </w:r>
    </w:p>
    <w:p w14:paraId="7F20EDDF" w14:textId="77777777" w:rsidR="00D536F2" w:rsidRDefault="00000000">
      <w:pPr>
        <w:spacing w:after="120"/>
        <w:jc w:val="center"/>
      </w:pPr>
      <w:r>
        <w:rPr>
          <w:rFonts w:ascii="Aptos Display" w:hAnsi="Aptos Display"/>
          <w:b/>
          <w:sz w:val="58"/>
        </w:rPr>
        <w:t>METHODOLOGY</w:t>
      </w:r>
    </w:p>
    <w:p w14:paraId="2D528869" w14:textId="77777777" w:rsidR="00D536F2" w:rsidRDefault="00000000">
      <w:pPr>
        <w:spacing w:after="480"/>
        <w:jc w:val="center"/>
      </w:pPr>
      <w:r>
        <w:rPr>
          <w:i/>
          <w:color w:val="1F4D78"/>
          <w:sz w:val="30"/>
        </w:rPr>
        <w:t>Exact rules for reproducing the SPY backtest</w:t>
      </w:r>
    </w:p>
    <w:tbl>
      <w:tblPr>
        <w:tblW w:w="0" w:type="auto"/>
        <w:jc w:val="center"/>
        <w:tblLayout w:type="fixed"/>
        <w:tblLook w:val="04A0" w:firstRow="1" w:lastRow="0" w:firstColumn="1" w:lastColumn="0" w:noHBand="0" w:noVBand="1"/>
      </w:tblPr>
      <w:tblGrid>
        <w:gridCol w:w="9432"/>
      </w:tblGrid>
      <w:tr w:rsidR="00D536F2" w14:paraId="6461BDEB" w14:textId="77777777">
        <w:trPr>
          <w:cantSplit/>
          <w:jc w:val="center"/>
        </w:trPr>
        <w:tc>
          <w:tcPr>
            <w:tcW w:w="9432" w:type="dxa"/>
            <w:shd w:val="clear" w:color="auto" w:fill="E8EEF5"/>
            <w:tcMar>
              <w:top w:w="145" w:type="dxa"/>
              <w:left w:w="180" w:type="dxa"/>
              <w:bottom w:w="140" w:type="dxa"/>
              <w:right w:w="180" w:type="dxa"/>
            </w:tcMar>
            <w:vAlign w:val="center"/>
          </w:tcPr>
          <w:p w14:paraId="5247FC7C" w14:textId="77777777" w:rsidR="00D536F2" w:rsidRDefault="00000000">
            <w:pPr>
              <w:spacing w:after="60"/>
            </w:pPr>
            <w:r>
              <w:rPr>
                <w:rFonts w:ascii="Aptos Display" w:hAnsi="Aptos Display"/>
                <w:b/>
                <w:color w:val="1F4D78"/>
                <w:sz w:val="21"/>
              </w:rPr>
              <w:t>Purpose</w:t>
            </w:r>
          </w:p>
          <w:p w14:paraId="2EAE00CE" w14:textId="77777777" w:rsidR="00D536F2" w:rsidRDefault="00000000">
            <w:pPr>
              <w:spacing w:after="0"/>
            </w:pPr>
            <w:r>
              <w:t>This document specifies the calculation actually implemented in the supplied SPY workbook. A replicator should be able to rebuild the model from Date, Open and Close without interpreting an unstated rule.</w:t>
            </w:r>
          </w:p>
        </w:tc>
      </w:tr>
    </w:tbl>
    <w:p w14:paraId="14BFCD78" w14:textId="77777777" w:rsidR="00D536F2" w:rsidRDefault="00D536F2">
      <w:pPr>
        <w:spacing w:after="0"/>
      </w:pPr>
    </w:p>
    <w:p w14:paraId="1D3A3A0E" w14:textId="77777777" w:rsidR="00D536F2" w:rsidRDefault="00000000">
      <w:r>
        <w:t>The test begins with $1,000 on 29 January 1993 and ends on 30 June 2026. It applies one signal engine to two hypothetical deep-in-the-money call-option models. The models differ only in strike percentage, time-value assumption and roll-up threshold.</w:t>
      </w:r>
    </w:p>
    <w:tbl>
      <w:tblPr>
        <w:tblW w:w="0" w:type="auto"/>
        <w:jc w:val="center"/>
        <w:tblLayout w:type="fixed"/>
        <w:tblLook w:val="04A0" w:firstRow="1" w:lastRow="0" w:firstColumn="1" w:lastColumn="0" w:noHBand="0" w:noVBand="1"/>
      </w:tblPr>
      <w:tblGrid>
        <w:gridCol w:w="1512"/>
        <w:gridCol w:w="1987"/>
        <w:gridCol w:w="1800"/>
        <w:gridCol w:w="2347"/>
        <w:gridCol w:w="1786"/>
      </w:tblGrid>
      <w:tr w:rsidR="00D536F2" w14:paraId="53DDB712" w14:textId="77777777">
        <w:trPr>
          <w:cantSplit/>
          <w:tblHeader/>
          <w:jc w:val="center"/>
        </w:trPr>
        <w:tc>
          <w:tcPr>
            <w:tcW w:w="1512" w:type="dxa"/>
            <w:shd w:val="clear" w:color="auto" w:fill="1F4D78"/>
            <w:tcMar>
              <w:top w:w="90" w:type="dxa"/>
              <w:left w:w="130" w:type="dxa"/>
              <w:bottom w:w="90" w:type="dxa"/>
              <w:right w:w="130" w:type="dxa"/>
            </w:tcMar>
            <w:vAlign w:val="center"/>
          </w:tcPr>
          <w:p w14:paraId="5DD1ED2C" w14:textId="77777777" w:rsidR="00D536F2" w:rsidRDefault="00000000">
            <w:pPr>
              <w:spacing w:after="0"/>
            </w:pPr>
            <w:r>
              <w:rPr>
                <w:b/>
                <w:color w:val="FFFFFF"/>
                <w:sz w:val="18"/>
              </w:rPr>
              <w:t>Model</w:t>
            </w:r>
          </w:p>
        </w:tc>
        <w:tc>
          <w:tcPr>
            <w:tcW w:w="1987" w:type="dxa"/>
            <w:shd w:val="clear" w:color="auto" w:fill="1F4D78"/>
            <w:tcMar>
              <w:top w:w="90" w:type="dxa"/>
              <w:left w:w="130" w:type="dxa"/>
              <w:bottom w:w="90" w:type="dxa"/>
              <w:right w:w="130" w:type="dxa"/>
            </w:tcMar>
            <w:vAlign w:val="center"/>
          </w:tcPr>
          <w:p w14:paraId="598492C4" w14:textId="77777777" w:rsidR="00D536F2" w:rsidRDefault="00000000">
            <w:pPr>
              <w:spacing w:after="0"/>
              <w:jc w:val="center"/>
            </w:pPr>
            <w:r>
              <w:rPr>
                <w:b/>
                <w:color w:val="FFFFFF"/>
                <w:sz w:val="18"/>
              </w:rPr>
              <w:t>Strike target</w:t>
            </w:r>
          </w:p>
        </w:tc>
        <w:tc>
          <w:tcPr>
            <w:tcW w:w="1800" w:type="dxa"/>
            <w:shd w:val="clear" w:color="auto" w:fill="1F4D78"/>
            <w:tcMar>
              <w:top w:w="90" w:type="dxa"/>
              <w:left w:w="130" w:type="dxa"/>
              <w:bottom w:w="90" w:type="dxa"/>
              <w:right w:w="130" w:type="dxa"/>
            </w:tcMar>
            <w:vAlign w:val="center"/>
          </w:tcPr>
          <w:p w14:paraId="4DFF449D" w14:textId="77777777" w:rsidR="00D536F2" w:rsidRDefault="00000000">
            <w:pPr>
              <w:spacing w:after="0"/>
              <w:jc w:val="center"/>
            </w:pPr>
            <w:r>
              <w:rPr>
                <w:b/>
                <w:color w:val="FFFFFF"/>
                <w:sz w:val="18"/>
              </w:rPr>
              <w:t>Time value</w:t>
            </w:r>
          </w:p>
        </w:tc>
        <w:tc>
          <w:tcPr>
            <w:tcW w:w="2347" w:type="dxa"/>
            <w:shd w:val="clear" w:color="auto" w:fill="1F4D78"/>
            <w:tcMar>
              <w:top w:w="90" w:type="dxa"/>
              <w:left w:w="130" w:type="dxa"/>
              <w:bottom w:w="90" w:type="dxa"/>
              <w:right w:w="130" w:type="dxa"/>
            </w:tcMar>
            <w:vAlign w:val="center"/>
          </w:tcPr>
          <w:p w14:paraId="54F82BF3" w14:textId="77777777" w:rsidR="00D536F2" w:rsidRDefault="00000000">
            <w:pPr>
              <w:spacing w:after="0"/>
              <w:jc w:val="center"/>
            </w:pPr>
            <w:r>
              <w:rPr>
                <w:b/>
                <w:color w:val="FFFFFF"/>
                <w:sz w:val="18"/>
              </w:rPr>
              <w:t>Roll-up trigger</w:t>
            </w:r>
          </w:p>
        </w:tc>
        <w:tc>
          <w:tcPr>
            <w:tcW w:w="1786" w:type="dxa"/>
            <w:shd w:val="clear" w:color="auto" w:fill="1F4D78"/>
            <w:tcMar>
              <w:top w:w="90" w:type="dxa"/>
              <w:left w:w="130" w:type="dxa"/>
              <w:bottom w:w="90" w:type="dxa"/>
              <w:right w:w="130" w:type="dxa"/>
            </w:tcMar>
            <w:vAlign w:val="center"/>
          </w:tcPr>
          <w:p w14:paraId="4FBAFF37" w14:textId="77777777" w:rsidR="00D536F2" w:rsidRDefault="00000000">
            <w:pPr>
              <w:spacing w:after="0"/>
              <w:jc w:val="center"/>
            </w:pPr>
            <w:r>
              <w:rPr>
                <w:b/>
                <w:color w:val="FFFFFF"/>
                <w:sz w:val="18"/>
              </w:rPr>
              <w:t>Final value</w:t>
            </w:r>
          </w:p>
        </w:tc>
      </w:tr>
      <w:tr w:rsidR="00D536F2" w14:paraId="649DAF4E" w14:textId="77777777">
        <w:trPr>
          <w:cantSplit/>
          <w:jc w:val="center"/>
        </w:trPr>
        <w:tc>
          <w:tcPr>
            <w:tcW w:w="1512" w:type="dxa"/>
            <w:tcMar>
              <w:top w:w="90" w:type="dxa"/>
              <w:left w:w="130" w:type="dxa"/>
              <w:bottom w:w="90" w:type="dxa"/>
              <w:right w:w="130" w:type="dxa"/>
            </w:tcMar>
            <w:vAlign w:val="center"/>
          </w:tcPr>
          <w:p w14:paraId="7BC5226D" w14:textId="77777777" w:rsidR="00D536F2" w:rsidRDefault="00000000">
            <w:pPr>
              <w:spacing w:after="0" w:line="259" w:lineRule="auto"/>
            </w:pPr>
            <w:r>
              <w:rPr>
                <w:sz w:val="18"/>
              </w:rPr>
              <w:t>50%</w:t>
            </w:r>
          </w:p>
        </w:tc>
        <w:tc>
          <w:tcPr>
            <w:tcW w:w="1987" w:type="dxa"/>
            <w:tcMar>
              <w:top w:w="90" w:type="dxa"/>
              <w:left w:w="130" w:type="dxa"/>
              <w:bottom w:w="90" w:type="dxa"/>
              <w:right w:w="130" w:type="dxa"/>
            </w:tcMar>
            <w:vAlign w:val="center"/>
          </w:tcPr>
          <w:p w14:paraId="54C69739" w14:textId="77777777" w:rsidR="00D536F2" w:rsidRDefault="00000000">
            <w:pPr>
              <w:spacing w:after="0" w:line="259" w:lineRule="auto"/>
              <w:jc w:val="center"/>
            </w:pPr>
            <w:r>
              <w:rPr>
                <w:sz w:val="18"/>
              </w:rPr>
              <w:t>50% of SPY</w:t>
            </w:r>
          </w:p>
        </w:tc>
        <w:tc>
          <w:tcPr>
            <w:tcW w:w="1800" w:type="dxa"/>
            <w:tcMar>
              <w:top w:w="90" w:type="dxa"/>
              <w:left w:w="130" w:type="dxa"/>
              <w:bottom w:w="90" w:type="dxa"/>
              <w:right w:w="130" w:type="dxa"/>
            </w:tcMar>
            <w:vAlign w:val="center"/>
          </w:tcPr>
          <w:p w14:paraId="61A447A3" w14:textId="77777777" w:rsidR="00D536F2" w:rsidRDefault="00000000">
            <w:pPr>
              <w:spacing w:after="0" w:line="259" w:lineRule="auto"/>
              <w:jc w:val="center"/>
            </w:pPr>
            <w:r>
              <w:rPr>
                <w:sz w:val="18"/>
              </w:rPr>
              <w:t>1% of SPY</w:t>
            </w:r>
          </w:p>
        </w:tc>
        <w:tc>
          <w:tcPr>
            <w:tcW w:w="2347" w:type="dxa"/>
            <w:tcMar>
              <w:top w:w="90" w:type="dxa"/>
              <w:left w:w="130" w:type="dxa"/>
              <w:bottom w:w="90" w:type="dxa"/>
              <w:right w:w="130" w:type="dxa"/>
            </w:tcMar>
            <w:vAlign w:val="center"/>
          </w:tcPr>
          <w:p w14:paraId="765D2190" w14:textId="77777777" w:rsidR="00D536F2" w:rsidRDefault="00000000">
            <w:pPr>
              <w:spacing w:after="0" w:line="259" w:lineRule="auto"/>
              <w:jc w:val="center"/>
            </w:pPr>
            <w:r>
              <w:rPr>
                <w:sz w:val="18"/>
              </w:rPr>
              <w:t>Strike / SPY &lt; 48%</w:t>
            </w:r>
          </w:p>
        </w:tc>
        <w:tc>
          <w:tcPr>
            <w:tcW w:w="1786" w:type="dxa"/>
            <w:tcMar>
              <w:top w:w="90" w:type="dxa"/>
              <w:left w:w="130" w:type="dxa"/>
              <w:bottom w:w="90" w:type="dxa"/>
              <w:right w:w="130" w:type="dxa"/>
            </w:tcMar>
            <w:vAlign w:val="center"/>
          </w:tcPr>
          <w:p w14:paraId="6DDD79FC" w14:textId="77777777" w:rsidR="00D536F2" w:rsidRDefault="00000000">
            <w:pPr>
              <w:spacing w:after="0" w:line="259" w:lineRule="auto"/>
              <w:jc w:val="center"/>
            </w:pPr>
            <w:r>
              <w:rPr>
                <w:sz w:val="18"/>
              </w:rPr>
              <w:t>$161,735.32</w:t>
            </w:r>
          </w:p>
        </w:tc>
      </w:tr>
      <w:tr w:rsidR="00D536F2" w14:paraId="5545C284" w14:textId="77777777">
        <w:trPr>
          <w:cantSplit/>
          <w:jc w:val="center"/>
        </w:trPr>
        <w:tc>
          <w:tcPr>
            <w:tcW w:w="1512" w:type="dxa"/>
            <w:shd w:val="clear" w:color="auto" w:fill="F4F6F9"/>
            <w:tcMar>
              <w:top w:w="90" w:type="dxa"/>
              <w:left w:w="130" w:type="dxa"/>
              <w:bottom w:w="90" w:type="dxa"/>
              <w:right w:w="130" w:type="dxa"/>
            </w:tcMar>
            <w:vAlign w:val="center"/>
          </w:tcPr>
          <w:p w14:paraId="105B3FCC" w14:textId="77777777" w:rsidR="00D536F2" w:rsidRDefault="00000000">
            <w:pPr>
              <w:spacing w:after="0" w:line="259" w:lineRule="auto"/>
            </w:pPr>
            <w:r>
              <w:rPr>
                <w:sz w:val="18"/>
              </w:rPr>
              <w:t>60%</w:t>
            </w:r>
          </w:p>
        </w:tc>
        <w:tc>
          <w:tcPr>
            <w:tcW w:w="1987" w:type="dxa"/>
            <w:shd w:val="clear" w:color="auto" w:fill="F4F6F9"/>
            <w:tcMar>
              <w:top w:w="90" w:type="dxa"/>
              <w:left w:w="130" w:type="dxa"/>
              <w:bottom w:w="90" w:type="dxa"/>
              <w:right w:w="130" w:type="dxa"/>
            </w:tcMar>
            <w:vAlign w:val="center"/>
          </w:tcPr>
          <w:p w14:paraId="17AB1D46" w14:textId="77777777" w:rsidR="00D536F2" w:rsidRDefault="00000000">
            <w:pPr>
              <w:spacing w:after="0" w:line="259" w:lineRule="auto"/>
              <w:jc w:val="center"/>
            </w:pPr>
            <w:r>
              <w:rPr>
                <w:sz w:val="18"/>
              </w:rPr>
              <w:t>60% of SPY</w:t>
            </w:r>
          </w:p>
        </w:tc>
        <w:tc>
          <w:tcPr>
            <w:tcW w:w="1800" w:type="dxa"/>
            <w:shd w:val="clear" w:color="auto" w:fill="F4F6F9"/>
            <w:tcMar>
              <w:top w:w="90" w:type="dxa"/>
              <w:left w:w="130" w:type="dxa"/>
              <w:bottom w:w="90" w:type="dxa"/>
              <w:right w:w="130" w:type="dxa"/>
            </w:tcMar>
            <w:vAlign w:val="center"/>
          </w:tcPr>
          <w:p w14:paraId="1A8EC7B2" w14:textId="77777777" w:rsidR="00D536F2" w:rsidRDefault="00000000">
            <w:pPr>
              <w:spacing w:after="0" w:line="259" w:lineRule="auto"/>
              <w:jc w:val="center"/>
            </w:pPr>
            <w:r>
              <w:rPr>
                <w:sz w:val="18"/>
              </w:rPr>
              <w:t>2% of SPY</w:t>
            </w:r>
          </w:p>
        </w:tc>
        <w:tc>
          <w:tcPr>
            <w:tcW w:w="2347" w:type="dxa"/>
            <w:shd w:val="clear" w:color="auto" w:fill="F4F6F9"/>
            <w:tcMar>
              <w:top w:w="90" w:type="dxa"/>
              <w:left w:w="130" w:type="dxa"/>
              <w:bottom w:w="90" w:type="dxa"/>
              <w:right w:w="130" w:type="dxa"/>
            </w:tcMar>
            <w:vAlign w:val="center"/>
          </w:tcPr>
          <w:p w14:paraId="728FB328" w14:textId="77777777" w:rsidR="00D536F2" w:rsidRDefault="00000000">
            <w:pPr>
              <w:spacing w:after="0" w:line="259" w:lineRule="auto"/>
              <w:jc w:val="center"/>
            </w:pPr>
            <w:r>
              <w:rPr>
                <w:sz w:val="18"/>
              </w:rPr>
              <w:t>Strike / SPY &lt; 56%</w:t>
            </w:r>
          </w:p>
        </w:tc>
        <w:tc>
          <w:tcPr>
            <w:tcW w:w="1786" w:type="dxa"/>
            <w:shd w:val="clear" w:color="auto" w:fill="F4F6F9"/>
            <w:tcMar>
              <w:top w:w="90" w:type="dxa"/>
              <w:left w:w="130" w:type="dxa"/>
              <w:bottom w:w="90" w:type="dxa"/>
              <w:right w:w="130" w:type="dxa"/>
            </w:tcMar>
            <w:vAlign w:val="center"/>
          </w:tcPr>
          <w:p w14:paraId="0DD8E7EA" w14:textId="77777777" w:rsidR="00D536F2" w:rsidRDefault="00000000">
            <w:pPr>
              <w:spacing w:after="0" w:line="259" w:lineRule="auto"/>
              <w:jc w:val="center"/>
            </w:pPr>
            <w:r>
              <w:rPr>
                <w:sz w:val="18"/>
              </w:rPr>
              <w:t>$421,330.26</w:t>
            </w:r>
          </w:p>
        </w:tc>
      </w:tr>
    </w:tbl>
    <w:p w14:paraId="704418DE" w14:textId="77777777" w:rsidR="00D536F2" w:rsidRDefault="00D536F2">
      <w:pPr>
        <w:spacing w:after="0"/>
      </w:pPr>
    </w:p>
    <w:p w14:paraId="7F7AF175" w14:textId="77777777" w:rsidR="00D536F2" w:rsidRDefault="00000000">
      <w:pPr>
        <w:jc w:val="center"/>
      </w:pPr>
      <w:r>
        <w:rPr>
          <w:i/>
          <w:color w:val="5B6570"/>
          <w:sz w:val="18"/>
        </w:rPr>
        <w:t>Draft Version 0.1  |  Prepared from the frozen evidence set</w:t>
      </w:r>
    </w:p>
    <w:p w14:paraId="2A8E1C9A" w14:textId="77777777" w:rsidR="00D536F2" w:rsidRDefault="00000000">
      <w:r>
        <w:br w:type="page"/>
      </w:r>
    </w:p>
    <w:p w14:paraId="28EC069B" w14:textId="77777777" w:rsidR="00D536F2" w:rsidRDefault="00000000">
      <w:pPr>
        <w:pStyle w:val="Heading1"/>
      </w:pPr>
      <w:r>
        <w:lastRenderedPageBreak/>
        <w:t>1. Scope and source inputs</w:t>
      </w:r>
    </w:p>
    <w:p w14:paraId="01C626CE" w14:textId="77777777" w:rsidR="00D536F2" w:rsidRDefault="00000000">
      <w:r>
        <w:t>The authoritative calculated source is SPY Backtesting 2026.xlsx, containing the worksheets SPY 50% and SPY 60%. Both worksheets contain the same 8,411 daily observations. The independent reconstruction used only the three raw input fields below; all calculated workbook columns were withheld until comparison.</w:t>
      </w:r>
    </w:p>
    <w:tbl>
      <w:tblPr>
        <w:tblW w:w="0" w:type="auto"/>
        <w:jc w:val="center"/>
        <w:tblLayout w:type="fixed"/>
        <w:tblLook w:val="04A0" w:firstRow="1" w:lastRow="0" w:firstColumn="1" w:lastColumn="0" w:noHBand="0" w:noVBand="1"/>
      </w:tblPr>
      <w:tblGrid>
        <w:gridCol w:w="1512"/>
        <w:gridCol w:w="3384"/>
        <w:gridCol w:w="4536"/>
      </w:tblGrid>
      <w:tr w:rsidR="00D536F2" w14:paraId="4FAD007C" w14:textId="77777777">
        <w:trPr>
          <w:cantSplit/>
          <w:tblHeader/>
          <w:jc w:val="center"/>
        </w:trPr>
        <w:tc>
          <w:tcPr>
            <w:tcW w:w="1512" w:type="dxa"/>
            <w:shd w:val="clear" w:color="auto" w:fill="1F4D78"/>
            <w:tcMar>
              <w:top w:w="90" w:type="dxa"/>
              <w:left w:w="130" w:type="dxa"/>
              <w:bottom w:w="90" w:type="dxa"/>
              <w:right w:w="130" w:type="dxa"/>
            </w:tcMar>
            <w:vAlign w:val="center"/>
          </w:tcPr>
          <w:p w14:paraId="29CB4CAF" w14:textId="77777777" w:rsidR="00D536F2" w:rsidRDefault="00000000">
            <w:pPr>
              <w:spacing w:after="0"/>
            </w:pPr>
            <w:r>
              <w:rPr>
                <w:b/>
                <w:color w:val="FFFFFF"/>
                <w:sz w:val="18"/>
              </w:rPr>
              <w:t>Input</w:t>
            </w:r>
          </w:p>
        </w:tc>
        <w:tc>
          <w:tcPr>
            <w:tcW w:w="3384" w:type="dxa"/>
            <w:shd w:val="clear" w:color="auto" w:fill="1F4D78"/>
            <w:tcMar>
              <w:top w:w="90" w:type="dxa"/>
              <w:left w:w="130" w:type="dxa"/>
              <w:bottom w:w="90" w:type="dxa"/>
              <w:right w:w="130" w:type="dxa"/>
            </w:tcMar>
            <w:vAlign w:val="center"/>
          </w:tcPr>
          <w:p w14:paraId="7749909E" w14:textId="77777777" w:rsidR="00D536F2" w:rsidRDefault="00000000">
            <w:pPr>
              <w:spacing w:after="0"/>
              <w:jc w:val="center"/>
            </w:pPr>
            <w:r>
              <w:rPr>
                <w:b/>
                <w:color w:val="FFFFFF"/>
                <w:sz w:val="18"/>
              </w:rPr>
              <w:t>Definition</w:t>
            </w:r>
          </w:p>
        </w:tc>
        <w:tc>
          <w:tcPr>
            <w:tcW w:w="4536" w:type="dxa"/>
            <w:shd w:val="clear" w:color="auto" w:fill="1F4D78"/>
            <w:tcMar>
              <w:top w:w="90" w:type="dxa"/>
              <w:left w:w="130" w:type="dxa"/>
              <w:bottom w:w="90" w:type="dxa"/>
              <w:right w:w="130" w:type="dxa"/>
            </w:tcMar>
            <w:vAlign w:val="center"/>
          </w:tcPr>
          <w:p w14:paraId="5C3DF356" w14:textId="77777777" w:rsidR="00D536F2" w:rsidRDefault="00000000">
            <w:pPr>
              <w:spacing w:after="0"/>
              <w:jc w:val="center"/>
            </w:pPr>
            <w:r>
              <w:rPr>
                <w:b/>
                <w:color w:val="FFFFFF"/>
                <w:sz w:val="18"/>
              </w:rPr>
              <w:t>Use</w:t>
            </w:r>
          </w:p>
        </w:tc>
      </w:tr>
      <w:tr w:rsidR="00D536F2" w14:paraId="1030B522" w14:textId="77777777">
        <w:trPr>
          <w:cantSplit/>
          <w:jc w:val="center"/>
        </w:trPr>
        <w:tc>
          <w:tcPr>
            <w:tcW w:w="1512" w:type="dxa"/>
            <w:tcMar>
              <w:top w:w="90" w:type="dxa"/>
              <w:left w:w="130" w:type="dxa"/>
              <w:bottom w:w="90" w:type="dxa"/>
              <w:right w:w="130" w:type="dxa"/>
            </w:tcMar>
            <w:vAlign w:val="center"/>
          </w:tcPr>
          <w:p w14:paraId="3AF87182" w14:textId="77777777" w:rsidR="00D536F2" w:rsidRDefault="00000000">
            <w:pPr>
              <w:spacing w:after="0" w:line="259" w:lineRule="auto"/>
            </w:pPr>
            <w:r>
              <w:rPr>
                <w:sz w:val="18"/>
              </w:rPr>
              <w:t>Date</w:t>
            </w:r>
          </w:p>
        </w:tc>
        <w:tc>
          <w:tcPr>
            <w:tcW w:w="3384" w:type="dxa"/>
            <w:tcMar>
              <w:top w:w="90" w:type="dxa"/>
              <w:left w:w="130" w:type="dxa"/>
              <w:bottom w:w="90" w:type="dxa"/>
              <w:right w:w="130" w:type="dxa"/>
            </w:tcMar>
            <w:vAlign w:val="center"/>
          </w:tcPr>
          <w:p w14:paraId="6827679C" w14:textId="77777777" w:rsidR="00D536F2" w:rsidRDefault="00000000">
            <w:pPr>
              <w:spacing w:after="0" w:line="259" w:lineRule="auto"/>
              <w:jc w:val="center"/>
            </w:pPr>
            <w:r>
              <w:rPr>
                <w:sz w:val="18"/>
              </w:rPr>
              <w:t>Trading date</w:t>
            </w:r>
          </w:p>
        </w:tc>
        <w:tc>
          <w:tcPr>
            <w:tcW w:w="4536" w:type="dxa"/>
            <w:tcMar>
              <w:top w:w="90" w:type="dxa"/>
              <w:left w:w="130" w:type="dxa"/>
              <w:bottom w:w="90" w:type="dxa"/>
              <w:right w:w="130" w:type="dxa"/>
            </w:tcMar>
            <w:vAlign w:val="center"/>
          </w:tcPr>
          <w:p w14:paraId="4ABEAE47" w14:textId="77777777" w:rsidR="00D536F2" w:rsidRDefault="00000000">
            <w:pPr>
              <w:spacing w:after="0" w:line="259" w:lineRule="auto"/>
              <w:jc w:val="center"/>
            </w:pPr>
            <w:r>
              <w:rPr>
                <w:sz w:val="18"/>
              </w:rPr>
              <w:t>Orders and daily valuation sequence</w:t>
            </w:r>
          </w:p>
        </w:tc>
      </w:tr>
      <w:tr w:rsidR="00D536F2" w14:paraId="6A2DF755" w14:textId="77777777">
        <w:trPr>
          <w:cantSplit/>
          <w:jc w:val="center"/>
        </w:trPr>
        <w:tc>
          <w:tcPr>
            <w:tcW w:w="1512" w:type="dxa"/>
            <w:shd w:val="clear" w:color="auto" w:fill="F4F6F9"/>
            <w:tcMar>
              <w:top w:w="90" w:type="dxa"/>
              <w:left w:w="130" w:type="dxa"/>
              <w:bottom w:w="90" w:type="dxa"/>
              <w:right w:w="130" w:type="dxa"/>
            </w:tcMar>
            <w:vAlign w:val="center"/>
          </w:tcPr>
          <w:p w14:paraId="37A19CF0" w14:textId="77777777" w:rsidR="00D536F2" w:rsidRDefault="00000000">
            <w:pPr>
              <w:spacing w:after="0" w:line="259" w:lineRule="auto"/>
            </w:pPr>
            <w:r>
              <w:rPr>
                <w:sz w:val="18"/>
              </w:rPr>
              <w:t>Open</w:t>
            </w:r>
          </w:p>
        </w:tc>
        <w:tc>
          <w:tcPr>
            <w:tcW w:w="3384" w:type="dxa"/>
            <w:shd w:val="clear" w:color="auto" w:fill="F4F6F9"/>
            <w:tcMar>
              <w:top w:w="90" w:type="dxa"/>
              <w:left w:w="130" w:type="dxa"/>
              <w:bottom w:w="90" w:type="dxa"/>
              <w:right w:w="130" w:type="dxa"/>
            </w:tcMar>
            <w:vAlign w:val="center"/>
          </w:tcPr>
          <w:p w14:paraId="4E0E76E2" w14:textId="77777777" w:rsidR="00D536F2" w:rsidRDefault="00000000">
            <w:pPr>
              <w:spacing w:after="0" w:line="259" w:lineRule="auto"/>
              <w:jc w:val="center"/>
            </w:pPr>
            <w:r>
              <w:rPr>
                <w:sz w:val="18"/>
              </w:rPr>
              <w:t>Unadjusted SPY opening price</w:t>
            </w:r>
          </w:p>
        </w:tc>
        <w:tc>
          <w:tcPr>
            <w:tcW w:w="4536" w:type="dxa"/>
            <w:shd w:val="clear" w:color="auto" w:fill="F4F6F9"/>
            <w:tcMar>
              <w:top w:w="90" w:type="dxa"/>
              <w:left w:w="130" w:type="dxa"/>
              <w:bottom w:w="90" w:type="dxa"/>
              <w:right w:w="130" w:type="dxa"/>
            </w:tcMar>
            <w:vAlign w:val="center"/>
          </w:tcPr>
          <w:p w14:paraId="1BF391D2" w14:textId="77777777" w:rsidR="00D536F2" w:rsidRDefault="00000000">
            <w:pPr>
              <w:spacing w:after="0" w:line="259" w:lineRule="auto"/>
              <w:jc w:val="center"/>
            </w:pPr>
            <w:r>
              <w:rPr>
                <w:sz w:val="18"/>
              </w:rPr>
              <w:t>Entry and exit execution</w:t>
            </w:r>
          </w:p>
        </w:tc>
      </w:tr>
      <w:tr w:rsidR="00D536F2" w14:paraId="2CD06CBB" w14:textId="77777777">
        <w:trPr>
          <w:cantSplit/>
          <w:jc w:val="center"/>
        </w:trPr>
        <w:tc>
          <w:tcPr>
            <w:tcW w:w="1512" w:type="dxa"/>
            <w:tcMar>
              <w:top w:w="90" w:type="dxa"/>
              <w:left w:w="130" w:type="dxa"/>
              <w:bottom w:w="90" w:type="dxa"/>
              <w:right w:w="130" w:type="dxa"/>
            </w:tcMar>
            <w:vAlign w:val="center"/>
          </w:tcPr>
          <w:p w14:paraId="0076741D" w14:textId="77777777" w:rsidR="00D536F2" w:rsidRDefault="00000000">
            <w:pPr>
              <w:spacing w:after="0" w:line="259" w:lineRule="auto"/>
            </w:pPr>
            <w:r>
              <w:rPr>
                <w:sz w:val="18"/>
              </w:rPr>
              <w:t>Close</w:t>
            </w:r>
          </w:p>
        </w:tc>
        <w:tc>
          <w:tcPr>
            <w:tcW w:w="3384" w:type="dxa"/>
            <w:tcMar>
              <w:top w:w="90" w:type="dxa"/>
              <w:left w:w="130" w:type="dxa"/>
              <w:bottom w:w="90" w:type="dxa"/>
              <w:right w:w="130" w:type="dxa"/>
            </w:tcMar>
            <w:vAlign w:val="center"/>
          </w:tcPr>
          <w:p w14:paraId="5B513627" w14:textId="77777777" w:rsidR="00D536F2" w:rsidRDefault="00000000">
            <w:pPr>
              <w:spacing w:after="0" w:line="259" w:lineRule="auto"/>
              <w:jc w:val="center"/>
            </w:pPr>
            <w:r>
              <w:rPr>
                <w:sz w:val="18"/>
              </w:rPr>
              <w:t>Unadjusted SPY closing price</w:t>
            </w:r>
          </w:p>
        </w:tc>
        <w:tc>
          <w:tcPr>
            <w:tcW w:w="4536" w:type="dxa"/>
            <w:tcMar>
              <w:top w:w="90" w:type="dxa"/>
              <w:left w:w="130" w:type="dxa"/>
              <w:bottom w:w="90" w:type="dxa"/>
              <w:right w:w="130" w:type="dxa"/>
            </w:tcMar>
            <w:vAlign w:val="center"/>
          </w:tcPr>
          <w:p w14:paraId="55976A28" w14:textId="77777777" w:rsidR="00D536F2" w:rsidRDefault="00000000">
            <w:pPr>
              <w:spacing w:after="0" w:line="259" w:lineRule="auto"/>
              <w:jc w:val="center"/>
            </w:pPr>
            <w:r>
              <w:rPr>
                <w:sz w:val="18"/>
              </w:rPr>
              <w:t>Moving averages, roll tests and daily valuation</w:t>
            </w:r>
          </w:p>
        </w:tc>
      </w:tr>
    </w:tbl>
    <w:p w14:paraId="52E8007F" w14:textId="77777777" w:rsidR="00D536F2" w:rsidRDefault="00D536F2">
      <w:pPr>
        <w:spacing w:after="0"/>
      </w:pPr>
    </w:p>
    <w:p w14:paraId="2967FBAE" w14:textId="77777777" w:rsidR="00D536F2" w:rsidRDefault="00000000">
      <w:pPr>
        <w:pStyle w:val="ListBullet"/>
        <w:spacing w:after="60"/>
        <w:ind w:left="432" w:hanging="259"/>
      </w:pPr>
      <w:r>
        <w:t>Instrument: SPDR S&amp;P 500 ETF Trust (SPY).</w:t>
      </w:r>
    </w:p>
    <w:p w14:paraId="152EF923" w14:textId="77777777" w:rsidR="00D536F2" w:rsidRDefault="00000000">
      <w:pPr>
        <w:pStyle w:val="ListBullet"/>
        <w:spacing w:after="60"/>
        <w:ind w:left="432" w:hanging="259"/>
      </w:pPr>
      <w:r>
        <w:t>Test period: 29 January 1993 through 30 June 2026, inclusive.</w:t>
      </w:r>
    </w:p>
    <w:p w14:paraId="46186CA9" w14:textId="77777777" w:rsidR="00D536F2" w:rsidRDefault="00000000">
      <w:pPr>
        <w:pStyle w:val="ListBullet"/>
        <w:spacing w:after="60"/>
        <w:ind w:left="432" w:hanging="259"/>
      </w:pPr>
      <w:r>
        <w:t>Starting account value: $1,000.</w:t>
      </w:r>
    </w:p>
    <w:p w14:paraId="320D6B08" w14:textId="77777777" w:rsidR="00D536F2" w:rsidRDefault="00000000">
      <w:pPr>
        <w:pStyle w:val="ListBullet"/>
        <w:spacing w:after="60"/>
        <w:ind w:left="432" w:hanging="259"/>
      </w:pPr>
      <w:r>
        <w:t>The option models do not add SPY dividends. The separate market comparator is the S&amp;P 500 Total Return Index, which includes reinvested dividends.</w:t>
      </w:r>
    </w:p>
    <w:p w14:paraId="47CFF15D" w14:textId="77777777" w:rsidR="00D536F2" w:rsidRDefault="00000000">
      <w:pPr>
        <w:pStyle w:val="Heading1"/>
      </w:pPr>
      <w:r>
        <w:t>2. Signal engine</w:t>
      </w:r>
    </w:p>
    <w:p w14:paraId="0F6B665D" w14:textId="77777777" w:rsidR="00D536F2" w:rsidRDefault="00000000">
      <w:pPr>
        <w:pStyle w:val="Heading2"/>
      </w:pPr>
      <w:r>
        <w:t>2.1 Moving averages</w:t>
      </w:r>
    </w:p>
    <w:p w14:paraId="2642AEA4" w14:textId="77777777" w:rsidR="00D536F2" w:rsidRDefault="00000000">
      <w:r>
        <w:t>For each trading day, calculate the arithmetic mean of the most recent 10 SPY closes (SMA10) and the most recent 200 SPY closes (SMA200), including the current day's close. No signal calculation is available until 200 observations exist.</w:t>
      </w:r>
    </w:p>
    <w:p w14:paraId="67328D89" w14:textId="77777777" w:rsidR="00D536F2" w:rsidRDefault="00000000">
      <w:pPr>
        <w:pStyle w:val="Heading2"/>
      </w:pPr>
      <w:r>
        <w:t>2.2 Phase and percentage difference</w:t>
      </w:r>
    </w:p>
    <w:p w14:paraId="196CB74F" w14:textId="77777777" w:rsidR="00D536F2" w:rsidRDefault="00000000">
      <w:r>
        <w:t>Calculate the signed moving-average difference as:</w:t>
      </w:r>
    </w:p>
    <w:p w14:paraId="7AC112CF" w14:textId="77777777" w:rsidR="00D536F2" w:rsidRDefault="00000000">
      <w:pPr>
        <w:jc w:val="center"/>
      </w:pPr>
      <w:r>
        <w:rPr>
          <w:b/>
          <w:color w:val="1F4D78"/>
          <w:sz w:val="22"/>
        </w:rPr>
        <w:t>Difference = (SMA10 - SMA200) / SMA200</w:t>
      </w:r>
    </w:p>
    <w:p w14:paraId="5BFB897B" w14:textId="77777777" w:rsidR="00D536F2" w:rsidRDefault="00000000">
      <w:r>
        <w:t>The phase is Golden when Difference is zero or positive; otherwise it is Death. A raw cross occurs whenever the phase differs from the preceding calculated trading day.</w:t>
      </w:r>
    </w:p>
    <w:p w14:paraId="5BD61E4E" w14:textId="77777777" w:rsidR="00D536F2" w:rsidRDefault="00000000">
      <w:pPr>
        <w:pStyle w:val="Heading2"/>
      </w:pPr>
      <w:r>
        <w:t>2.3 Confirmation rule</w:t>
      </w:r>
    </w:p>
    <w:p w14:paraId="40558262" w14:textId="77777777" w:rsidR="00D536F2" w:rsidRDefault="00000000">
      <w:r>
        <w:t>A phase is confirmed on the first trading day after at least one raw cross has occurred when both conditions below are true:</w:t>
      </w:r>
    </w:p>
    <w:p w14:paraId="2B77C098" w14:textId="77777777" w:rsidR="00D536F2" w:rsidRDefault="00000000">
      <w:pPr>
        <w:pStyle w:val="ListBullet"/>
        <w:spacing w:after="60"/>
        <w:ind w:left="432" w:hanging="259"/>
      </w:pPr>
      <w:r>
        <w:t>the absolute moving-average difference is strictly greater than 1.5%; and</w:t>
      </w:r>
    </w:p>
    <w:p w14:paraId="2C245CA3" w14:textId="77777777" w:rsidR="00D536F2" w:rsidRDefault="00000000">
      <w:pPr>
        <w:pStyle w:val="ListBullet"/>
        <w:spacing w:after="60"/>
        <w:ind w:left="432" w:hanging="259"/>
      </w:pPr>
      <w:r>
        <w:t>the current phase differs from the most recently confirmed phase.</w:t>
      </w:r>
    </w:p>
    <w:tbl>
      <w:tblPr>
        <w:tblW w:w="0" w:type="auto"/>
        <w:jc w:val="center"/>
        <w:tblLayout w:type="fixed"/>
        <w:tblLook w:val="04A0" w:firstRow="1" w:lastRow="0" w:firstColumn="1" w:lastColumn="0" w:noHBand="0" w:noVBand="1"/>
      </w:tblPr>
      <w:tblGrid>
        <w:gridCol w:w="9432"/>
      </w:tblGrid>
      <w:tr w:rsidR="00D536F2" w14:paraId="0F7D5CEF" w14:textId="77777777">
        <w:trPr>
          <w:cantSplit/>
          <w:jc w:val="center"/>
        </w:trPr>
        <w:tc>
          <w:tcPr>
            <w:tcW w:w="9432" w:type="dxa"/>
            <w:shd w:val="clear" w:color="auto" w:fill="F4F6F9"/>
            <w:tcMar>
              <w:top w:w="145" w:type="dxa"/>
              <w:left w:w="180" w:type="dxa"/>
              <w:bottom w:w="140" w:type="dxa"/>
              <w:right w:w="180" w:type="dxa"/>
            </w:tcMar>
            <w:vAlign w:val="center"/>
          </w:tcPr>
          <w:p w14:paraId="0A02B5C1" w14:textId="77777777" w:rsidR="00D536F2" w:rsidRDefault="00000000">
            <w:pPr>
              <w:spacing w:after="60"/>
            </w:pPr>
            <w:r>
              <w:rPr>
                <w:rFonts w:ascii="Aptos Display" w:hAnsi="Aptos Display"/>
                <w:b/>
                <w:color w:val="1F4D78"/>
                <w:sz w:val="21"/>
              </w:rPr>
              <w:t>What this means</w:t>
            </w:r>
          </w:p>
          <w:p w14:paraId="25036D1B" w14:textId="77777777" w:rsidR="00D536F2" w:rsidRDefault="00000000">
            <w:pPr>
              <w:spacing w:after="0"/>
            </w:pPr>
            <w:r>
              <w:t>A raw cross is not itself a trade signal. After the phase changes, the model waits until the 10-day and 200-day averages have more than 1.5% 'white space' between them. It then confirms that phase once. Further days in the same phase are not reconfirmed.</w:t>
            </w:r>
          </w:p>
        </w:tc>
      </w:tr>
    </w:tbl>
    <w:p w14:paraId="5762F22C" w14:textId="77777777" w:rsidR="00D536F2" w:rsidRDefault="00D536F2">
      <w:pPr>
        <w:spacing w:after="0"/>
      </w:pPr>
    </w:p>
    <w:p w14:paraId="09F1686A" w14:textId="77777777" w:rsidR="00D536F2" w:rsidRDefault="00000000">
      <w:pPr>
        <w:pStyle w:val="Heading2"/>
      </w:pPr>
      <w:r>
        <w:lastRenderedPageBreak/>
        <w:t>2.4 Entry and exit timing</w:t>
      </w:r>
    </w:p>
    <w:p w14:paraId="0D3F699A" w14:textId="77777777" w:rsidR="00D536F2" w:rsidRDefault="00000000">
      <w:pPr>
        <w:pStyle w:val="ListBullet"/>
        <w:spacing w:after="60"/>
        <w:ind w:left="432" w:hanging="259"/>
      </w:pPr>
      <w:r>
        <w:t>A confirmed Golden phase generates an entry at the next trading day's SPY opening price.</w:t>
      </w:r>
    </w:p>
    <w:p w14:paraId="54C2EA2C" w14:textId="77777777" w:rsidR="00D536F2" w:rsidRDefault="00000000">
      <w:pPr>
        <w:pStyle w:val="ListBullet"/>
        <w:spacing w:after="60"/>
        <w:ind w:left="432" w:hanging="259"/>
      </w:pPr>
      <w:r>
        <w:t>A confirmed Death phase generates an exit at the next trading day's SPY opening price, provided the model is invested.</w:t>
      </w:r>
    </w:p>
    <w:p w14:paraId="549E80C9" w14:textId="77777777" w:rsidR="00D536F2" w:rsidRDefault="00000000">
      <w:pPr>
        <w:pStyle w:val="ListBullet"/>
        <w:spacing w:after="60"/>
        <w:ind w:left="432" w:hanging="259"/>
      </w:pPr>
      <w:r>
        <w:t>The same confirmation, entry and exit dates apply to both option models.</w:t>
      </w:r>
    </w:p>
    <w:p w14:paraId="5FBF80F3" w14:textId="77777777" w:rsidR="00D536F2" w:rsidRDefault="00000000">
      <w:pPr>
        <w:pStyle w:val="ListBullet"/>
        <w:spacing w:after="60"/>
        <w:ind w:left="432" w:hanging="259"/>
      </w:pPr>
      <w:r>
        <w:t>No discretionary delay, filter, override or optimisation is applied.</w:t>
      </w:r>
    </w:p>
    <w:p w14:paraId="50C2D3A0" w14:textId="77777777" w:rsidR="00D536F2" w:rsidRDefault="00000000">
      <w:r>
        <w:t>Across the test period, this produces 70 raw crosses, 32 confirmations, 16 entries and 15 exits. The final entry remains open at the cutoff date.</w:t>
      </w:r>
    </w:p>
    <w:p w14:paraId="5D3D89CC" w14:textId="77777777" w:rsidR="00D536F2" w:rsidRDefault="00000000">
      <w:pPr>
        <w:pStyle w:val="Heading1"/>
      </w:pPr>
      <w:r>
        <w:t>3. Hypothetical option-value model</w:t>
      </w:r>
    </w:p>
    <w:p w14:paraId="1CDC4DCC" w14:textId="77777777" w:rsidR="00D536F2" w:rsidRDefault="00000000">
      <w:pPr>
        <w:pStyle w:val="Heading2"/>
      </w:pPr>
      <w:r>
        <w:t>3.1 Nature of the model</w:t>
      </w:r>
    </w:p>
    <w:p w14:paraId="4AA15A29" w14:textId="77777777" w:rsidR="00D536F2" w:rsidRDefault="00000000">
      <w:r>
        <w:t>The backtest does not use historical option-chain quotations. It creates a transparent synthetic value for a deep-in-the-money call from the SPY price, the selected strike and a fixed time-value allowance. This makes the same calculation available throughout SPY's full history.</w:t>
      </w:r>
    </w:p>
    <w:tbl>
      <w:tblPr>
        <w:tblW w:w="0" w:type="auto"/>
        <w:jc w:val="center"/>
        <w:tblLayout w:type="fixed"/>
        <w:tblLook w:val="04A0" w:firstRow="1" w:lastRow="0" w:firstColumn="1" w:lastColumn="0" w:noHBand="0" w:noVBand="1"/>
      </w:tblPr>
      <w:tblGrid>
        <w:gridCol w:w="9432"/>
      </w:tblGrid>
      <w:tr w:rsidR="00D536F2" w14:paraId="1F8DEF26" w14:textId="77777777">
        <w:trPr>
          <w:cantSplit/>
          <w:jc w:val="center"/>
        </w:trPr>
        <w:tc>
          <w:tcPr>
            <w:tcW w:w="9432" w:type="dxa"/>
            <w:shd w:val="clear" w:color="auto" w:fill="E8EEF5"/>
            <w:tcMar>
              <w:top w:w="145" w:type="dxa"/>
              <w:left w:w="180" w:type="dxa"/>
              <w:bottom w:w="140" w:type="dxa"/>
              <w:right w:w="180" w:type="dxa"/>
            </w:tcMar>
            <w:vAlign w:val="center"/>
          </w:tcPr>
          <w:p w14:paraId="2B0CA293" w14:textId="77777777" w:rsidR="00D536F2" w:rsidRDefault="00000000">
            <w:pPr>
              <w:spacing w:after="60"/>
            </w:pPr>
            <w:r>
              <w:rPr>
                <w:rFonts w:ascii="Aptos Display" w:hAnsi="Aptos Display"/>
                <w:b/>
                <w:color w:val="1F4D78"/>
                <w:sz w:val="21"/>
              </w:rPr>
              <w:t>Units, not exchange contracts</w:t>
            </w:r>
          </w:p>
          <w:p w14:paraId="1EC5A66A" w14:textId="77777777" w:rsidR="00D536F2" w:rsidRDefault="00000000">
            <w:pPr>
              <w:spacing w:after="0"/>
            </w:pPr>
            <w:r>
              <w:t>The workbook divides the account by the per-unit option value and does not apply the standard 100-share contract multiplier. Its 'No of Options' figure is therefore a count of model option units. This normalization does not change percentage returns, but the quantities must not be read as broker-executable contract counts for a $1,000 account.</w:t>
            </w:r>
          </w:p>
        </w:tc>
      </w:tr>
    </w:tbl>
    <w:p w14:paraId="231C58F4" w14:textId="77777777" w:rsidR="00D536F2" w:rsidRDefault="00D536F2">
      <w:pPr>
        <w:spacing w:after="0"/>
      </w:pPr>
    </w:p>
    <w:p w14:paraId="118D3B72" w14:textId="77777777" w:rsidR="00D536F2" w:rsidRDefault="00000000">
      <w:pPr>
        <w:pStyle w:val="Heading2"/>
      </w:pPr>
      <w:r>
        <w:t>3.2 Initial strike</w:t>
      </w:r>
    </w:p>
    <w:p w14:paraId="722E3DBB" w14:textId="77777777" w:rsidR="00D536F2" w:rsidRDefault="00000000">
      <w:r>
        <w:t>On an entry day, multiply the SPY opening price by the model's strike target: 50% for the 50% model or 60% for the 60% model. Round that calculated strike upward using the following bands:</w:t>
      </w:r>
    </w:p>
    <w:tbl>
      <w:tblPr>
        <w:tblW w:w="0" w:type="auto"/>
        <w:jc w:val="center"/>
        <w:tblLayout w:type="fixed"/>
        <w:tblLook w:val="04A0" w:firstRow="1" w:lastRow="0" w:firstColumn="1" w:lastColumn="0" w:noHBand="0" w:noVBand="1"/>
      </w:tblPr>
      <w:tblGrid>
        <w:gridCol w:w="3024"/>
        <w:gridCol w:w="6408"/>
      </w:tblGrid>
      <w:tr w:rsidR="00D536F2" w14:paraId="6EEAE2F1" w14:textId="77777777">
        <w:trPr>
          <w:cantSplit/>
          <w:tblHeader/>
          <w:jc w:val="center"/>
        </w:trPr>
        <w:tc>
          <w:tcPr>
            <w:tcW w:w="3024" w:type="dxa"/>
            <w:shd w:val="clear" w:color="auto" w:fill="1F4D78"/>
            <w:tcMar>
              <w:top w:w="90" w:type="dxa"/>
              <w:left w:w="130" w:type="dxa"/>
              <w:bottom w:w="90" w:type="dxa"/>
              <w:right w:w="130" w:type="dxa"/>
            </w:tcMar>
            <w:vAlign w:val="center"/>
          </w:tcPr>
          <w:p w14:paraId="73032D69" w14:textId="77777777" w:rsidR="00D536F2" w:rsidRDefault="00000000">
            <w:pPr>
              <w:spacing w:after="0"/>
            </w:pPr>
            <w:r>
              <w:rPr>
                <w:b/>
                <w:color w:val="FFFFFF"/>
                <w:sz w:val="18"/>
              </w:rPr>
              <w:t>Calculated strike</w:t>
            </w:r>
          </w:p>
        </w:tc>
        <w:tc>
          <w:tcPr>
            <w:tcW w:w="6408" w:type="dxa"/>
            <w:shd w:val="clear" w:color="auto" w:fill="1F4D78"/>
            <w:tcMar>
              <w:top w:w="90" w:type="dxa"/>
              <w:left w:w="130" w:type="dxa"/>
              <w:bottom w:w="90" w:type="dxa"/>
              <w:right w:w="130" w:type="dxa"/>
            </w:tcMar>
            <w:vAlign w:val="center"/>
          </w:tcPr>
          <w:p w14:paraId="5BF2065C" w14:textId="77777777" w:rsidR="00D536F2" w:rsidRDefault="00000000">
            <w:pPr>
              <w:spacing w:after="0"/>
              <w:jc w:val="center"/>
            </w:pPr>
            <w:r>
              <w:rPr>
                <w:b/>
                <w:color w:val="FFFFFF"/>
                <w:sz w:val="18"/>
              </w:rPr>
              <w:t>Tradable strike rule</w:t>
            </w:r>
          </w:p>
        </w:tc>
      </w:tr>
      <w:tr w:rsidR="00D536F2" w14:paraId="1CD85981" w14:textId="77777777">
        <w:trPr>
          <w:cantSplit/>
          <w:jc w:val="center"/>
        </w:trPr>
        <w:tc>
          <w:tcPr>
            <w:tcW w:w="3024" w:type="dxa"/>
            <w:tcMar>
              <w:top w:w="90" w:type="dxa"/>
              <w:left w:w="130" w:type="dxa"/>
              <w:bottom w:w="90" w:type="dxa"/>
              <w:right w:w="130" w:type="dxa"/>
            </w:tcMar>
            <w:vAlign w:val="center"/>
          </w:tcPr>
          <w:p w14:paraId="44112A7E" w14:textId="77777777" w:rsidR="00D536F2" w:rsidRDefault="00000000">
            <w:pPr>
              <w:spacing w:after="0" w:line="259" w:lineRule="auto"/>
            </w:pPr>
            <w:r>
              <w:rPr>
                <w:sz w:val="18"/>
              </w:rPr>
              <w:t>Below $30</w:t>
            </w:r>
          </w:p>
        </w:tc>
        <w:tc>
          <w:tcPr>
            <w:tcW w:w="6408" w:type="dxa"/>
            <w:tcMar>
              <w:top w:w="90" w:type="dxa"/>
              <w:left w:w="130" w:type="dxa"/>
              <w:bottom w:w="90" w:type="dxa"/>
              <w:right w:w="130" w:type="dxa"/>
            </w:tcMar>
            <w:vAlign w:val="center"/>
          </w:tcPr>
          <w:p w14:paraId="6197EFD3" w14:textId="77777777" w:rsidR="00D536F2" w:rsidRDefault="00000000">
            <w:pPr>
              <w:spacing w:after="0" w:line="259" w:lineRule="auto"/>
              <w:jc w:val="center"/>
            </w:pPr>
            <w:r>
              <w:rPr>
                <w:sz w:val="18"/>
              </w:rPr>
              <w:t>Round upward to the next $1 increment</w:t>
            </w:r>
          </w:p>
        </w:tc>
      </w:tr>
      <w:tr w:rsidR="00D536F2" w14:paraId="6AF9BAFA" w14:textId="77777777">
        <w:trPr>
          <w:cantSplit/>
          <w:jc w:val="center"/>
        </w:trPr>
        <w:tc>
          <w:tcPr>
            <w:tcW w:w="3024" w:type="dxa"/>
            <w:shd w:val="clear" w:color="auto" w:fill="F4F6F9"/>
            <w:tcMar>
              <w:top w:w="90" w:type="dxa"/>
              <w:left w:w="130" w:type="dxa"/>
              <w:bottom w:w="90" w:type="dxa"/>
              <w:right w:w="130" w:type="dxa"/>
            </w:tcMar>
            <w:vAlign w:val="center"/>
          </w:tcPr>
          <w:p w14:paraId="32EE7A43" w14:textId="77777777" w:rsidR="00D536F2" w:rsidRDefault="00000000">
            <w:pPr>
              <w:spacing w:after="0" w:line="259" w:lineRule="auto"/>
            </w:pPr>
            <w:r>
              <w:rPr>
                <w:sz w:val="18"/>
              </w:rPr>
              <w:t>$30 to below $70</w:t>
            </w:r>
          </w:p>
        </w:tc>
        <w:tc>
          <w:tcPr>
            <w:tcW w:w="6408" w:type="dxa"/>
            <w:shd w:val="clear" w:color="auto" w:fill="F4F6F9"/>
            <w:tcMar>
              <w:top w:w="90" w:type="dxa"/>
              <w:left w:w="130" w:type="dxa"/>
              <w:bottom w:w="90" w:type="dxa"/>
              <w:right w:w="130" w:type="dxa"/>
            </w:tcMar>
            <w:vAlign w:val="center"/>
          </w:tcPr>
          <w:p w14:paraId="01D5325D" w14:textId="77777777" w:rsidR="00D536F2" w:rsidRDefault="00000000">
            <w:pPr>
              <w:spacing w:after="0" w:line="259" w:lineRule="auto"/>
              <w:jc w:val="center"/>
            </w:pPr>
            <w:r>
              <w:rPr>
                <w:sz w:val="18"/>
              </w:rPr>
              <w:t>Round upward to the next $2 increment</w:t>
            </w:r>
          </w:p>
        </w:tc>
      </w:tr>
      <w:tr w:rsidR="00D536F2" w14:paraId="465C7C9A" w14:textId="77777777">
        <w:trPr>
          <w:cantSplit/>
          <w:jc w:val="center"/>
        </w:trPr>
        <w:tc>
          <w:tcPr>
            <w:tcW w:w="3024" w:type="dxa"/>
            <w:tcMar>
              <w:top w:w="90" w:type="dxa"/>
              <w:left w:w="130" w:type="dxa"/>
              <w:bottom w:w="90" w:type="dxa"/>
              <w:right w:w="130" w:type="dxa"/>
            </w:tcMar>
            <w:vAlign w:val="center"/>
          </w:tcPr>
          <w:p w14:paraId="0986F493" w14:textId="77777777" w:rsidR="00D536F2" w:rsidRDefault="00000000">
            <w:pPr>
              <w:spacing w:after="0" w:line="259" w:lineRule="auto"/>
            </w:pPr>
            <w:r>
              <w:rPr>
                <w:sz w:val="18"/>
              </w:rPr>
              <w:t>$70 or above</w:t>
            </w:r>
          </w:p>
        </w:tc>
        <w:tc>
          <w:tcPr>
            <w:tcW w:w="6408" w:type="dxa"/>
            <w:tcMar>
              <w:top w:w="90" w:type="dxa"/>
              <w:left w:w="130" w:type="dxa"/>
              <w:bottom w:w="90" w:type="dxa"/>
              <w:right w:w="130" w:type="dxa"/>
            </w:tcMar>
            <w:vAlign w:val="center"/>
          </w:tcPr>
          <w:p w14:paraId="1961573D" w14:textId="77777777" w:rsidR="00D536F2" w:rsidRDefault="00000000">
            <w:pPr>
              <w:spacing w:after="0" w:line="259" w:lineRule="auto"/>
              <w:jc w:val="center"/>
            </w:pPr>
            <w:r>
              <w:rPr>
                <w:sz w:val="18"/>
              </w:rPr>
              <w:t>Round upward to the next $5 increment</w:t>
            </w:r>
          </w:p>
        </w:tc>
      </w:tr>
    </w:tbl>
    <w:p w14:paraId="6524F7AF" w14:textId="77777777" w:rsidR="00D536F2" w:rsidRDefault="00D536F2">
      <w:pPr>
        <w:spacing w:after="0"/>
      </w:pPr>
    </w:p>
    <w:p w14:paraId="563EE950" w14:textId="77777777" w:rsidR="00D536F2" w:rsidRDefault="00000000">
      <w:r>
        <w:t>If the calculated strike already lies exactly on the applicable increment, it remains unchanged. The resulting rounded value is the actual strike used by the model.</w:t>
      </w:r>
    </w:p>
    <w:p w14:paraId="46897BC0" w14:textId="77777777" w:rsidR="00D536F2" w:rsidRDefault="00000000">
      <w:pPr>
        <w:pStyle w:val="Heading2"/>
      </w:pPr>
      <w:r>
        <w:t>3.3 Option value</w:t>
      </w:r>
    </w:p>
    <w:p w14:paraId="235D5EDA" w14:textId="77777777" w:rsidR="00D536F2" w:rsidRDefault="00000000">
      <w:r>
        <w:t>At any valuation price P, the modeled option value per unit is:</w:t>
      </w:r>
    </w:p>
    <w:p w14:paraId="500C8C77" w14:textId="77777777" w:rsidR="00D536F2" w:rsidRDefault="00000000">
      <w:pPr>
        <w:jc w:val="center"/>
      </w:pPr>
      <w:r>
        <w:rPr>
          <w:b/>
          <w:color w:val="1F4D78"/>
          <w:sz w:val="22"/>
        </w:rPr>
        <w:t>Option value = P x (1 + time-value rate) - actual strike</w:t>
      </w:r>
    </w:p>
    <w:p w14:paraId="0C757EB6" w14:textId="77777777" w:rsidR="00D536F2" w:rsidRDefault="00000000">
      <w:r>
        <w:t>Use the entry day's SPY open for the purchase value, each day's SPY close for daily account valuation, and the exit day's SPY open for the sale value. The time-value rate is fixed at 1% for the 50% model and 2% for the 60% model. It is applied to SPY, not to the option's intrinsic value.</w:t>
      </w:r>
    </w:p>
    <w:p w14:paraId="128AB88E" w14:textId="77777777" w:rsidR="00D536F2" w:rsidRDefault="00000000">
      <w:r>
        <w:lastRenderedPageBreak/>
        <w:t>An earlier development version removed time value when an option was sold close to expiry (approximately 45 days, from the author's recollection). That treatment was removed and is not part of this tested model. The fixed time-value rate therefore remains in the exit value regardless of trade duration.</w:t>
      </w:r>
    </w:p>
    <w:p w14:paraId="6ED6C80B" w14:textId="77777777" w:rsidR="00D536F2" w:rsidRDefault="00000000">
      <w:pPr>
        <w:pStyle w:val="Heading2"/>
      </w:pPr>
      <w:r>
        <w:t>3.4 Quantity and cash at entry</w:t>
      </w:r>
    </w:p>
    <w:p w14:paraId="40C5517F" w14:textId="77777777" w:rsidR="00D536F2" w:rsidRDefault="00000000">
      <w:r>
        <w:t>At entry:</w:t>
      </w:r>
    </w:p>
    <w:p w14:paraId="6CD44695" w14:textId="77777777" w:rsidR="00D536F2" w:rsidRDefault="00000000">
      <w:pPr>
        <w:pStyle w:val="ListNumber"/>
        <w:spacing w:after="80"/>
        <w:ind w:left="490" w:hanging="317"/>
      </w:pPr>
      <w:r>
        <w:t>Calculate the modeled option purchase value from the entry-day SPY open.</w:t>
      </w:r>
    </w:p>
    <w:p w14:paraId="26A4ACFB" w14:textId="77777777" w:rsidR="00D536F2" w:rsidRDefault="00000000">
      <w:pPr>
        <w:pStyle w:val="ListNumber"/>
        <w:spacing w:after="80"/>
        <w:ind w:left="490" w:hanging="317"/>
      </w:pPr>
      <w:r>
        <w:t>Divide the account value immediately before entry by that option value.</w:t>
      </w:r>
    </w:p>
    <w:p w14:paraId="168CCD90" w14:textId="77777777" w:rsidR="00D536F2" w:rsidRDefault="00000000">
      <w:pPr>
        <w:pStyle w:val="ListNumber"/>
        <w:spacing w:after="80"/>
        <w:ind w:left="490" w:hanging="317"/>
      </w:pPr>
      <w:r>
        <w:t>Round the result downward to a whole number of model option units.</w:t>
      </w:r>
    </w:p>
    <w:p w14:paraId="32B6BF84" w14:textId="77777777" w:rsidR="00D536F2" w:rsidRDefault="00000000">
      <w:pPr>
        <w:pStyle w:val="ListNumber"/>
        <w:spacing w:after="80"/>
        <w:ind w:left="490" w:hanging="317"/>
      </w:pPr>
      <w:r>
        <w:t>Retain the uninvested remainder as cash.</w:t>
      </w:r>
    </w:p>
    <w:p w14:paraId="27DDF941" w14:textId="77777777" w:rsidR="00D536F2" w:rsidRDefault="00000000">
      <w:pPr>
        <w:jc w:val="center"/>
      </w:pPr>
      <w:r>
        <w:rPr>
          <w:b/>
          <w:color w:val="1F4D78"/>
          <w:sz w:val="21"/>
        </w:rPr>
        <w:t>Units = floor(previous account value / entry option value)</w:t>
      </w:r>
    </w:p>
    <w:p w14:paraId="09B00556" w14:textId="77777777" w:rsidR="00D536F2" w:rsidRDefault="00000000">
      <w:pPr>
        <w:pStyle w:val="Heading1"/>
      </w:pPr>
      <w:r>
        <w:t>4. Daily valuation</w:t>
      </w:r>
    </w:p>
    <w:p w14:paraId="40C97C19" w14:textId="77777777" w:rsidR="00D536F2" w:rsidRDefault="00000000">
      <w:r>
        <w:t>While invested, calculate the current option value from the day's SPY close and the current actual strike. The account value is:</w:t>
      </w:r>
    </w:p>
    <w:p w14:paraId="0CAAAC58" w14:textId="77777777" w:rsidR="00D536F2" w:rsidRDefault="00000000">
      <w:pPr>
        <w:jc w:val="center"/>
      </w:pPr>
      <w:r>
        <w:rPr>
          <w:b/>
          <w:color w:val="1F4D78"/>
          <w:sz w:val="22"/>
        </w:rPr>
        <w:t>Account value = (option units x current option value) + cash</w:t>
      </w:r>
    </w:p>
    <w:p w14:paraId="0AA2569B" w14:textId="77777777" w:rsidR="00D536F2" w:rsidRDefault="00000000">
      <w:r>
        <w:t>While out of the market, the account value equals cash. Cash earns no interest. Daily values are retained at full spreadsheet precision; publication figures may be rounded to cents or whole dollars as stated.</w:t>
      </w:r>
    </w:p>
    <w:p w14:paraId="10E13959" w14:textId="77777777" w:rsidR="00D536F2" w:rsidRDefault="00000000">
      <w:pPr>
        <w:pStyle w:val="Heading1"/>
      </w:pPr>
      <w:r>
        <w:t>5. Roll-up rule</w:t>
      </w:r>
    </w:p>
    <w:p w14:paraId="2B61D849" w14:textId="77777777" w:rsidR="00D536F2" w:rsidRDefault="00000000">
      <w:pPr>
        <w:pStyle w:val="Heading2"/>
      </w:pPr>
      <w:r>
        <w:t>5.1 Trigger</w:t>
      </w:r>
    </w:p>
    <w:p w14:paraId="63B330E6" w14:textId="77777777" w:rsidR="00D536F2" w:rsidRDefault="00000000">
      <w:r>
        <w:t>At each invested day's close, calculate:</w:t>
      </w:r>
    </w:p>
    <w:p w14:paraId="6C67D339" w14:textId="77777777" w:rsidR="00D536F2" w:rsidRDefault="00000000">
      <w:pPr>
        <w:jc w:val="center"/>
      </w:pPr>
      <w:r>
        <w:rPr>
          <w:b/>
          <w:color w:val="1F4D78"/>
          <w:sz w:val="22"/>
        </w:rPr>
        <w:t>Strike ratio = current actual strike / SPY close</w:t>
      </w:r>
    </w:p>
    <w:p w14:paraId="661F3295" w14:textId="77777777" w:rsidR="00D536F2" w:rsidRDefault="00000000">
      <w:r>
        <w:t>A roll-up is triggered when the ratio is strictly below the model threshold:</w:t>
      </w:r>
    </w:p>
    <w:tbl>
      <w:tblPr>
        <w:tblW w:w="0" w:type="auto"/>
        <w:jc w:val="center"/>
        <w:tblLayout w:type="fixed"/>
        <w:tblLook w:val="04A0" w:firstRow="1" w:lastRow="0" w:firstColumn="1" w:lastColumn="0" w:noHBand="0" w:noVBand="1"/>
      </w:tblPr>
      <w:tblGrid>
        <w:gridCol w:w="2880"/>
        <w:gridCol w:w="6552"/>
      </w:tblGrid>
      <w:tr w:rsidR="00D536F2" w14:paraId="60810EF9" w14:textId="77777777">
        <w:trPr>
          <w:cantSplit/>
          <w:tblHeader/>
          <w:jc w:val="center"/>
        </w:trPr>
        <w:tc>
          <w:tcPr>
            <w:tcW w:w="2880" w:type="dxa"/>
            <w:shd w:val="clear" w:color="auto" w:fill="1F4D78"/>
            <w:tcMar>
              <w:top w:w="90" w:type="dxa"/>
              <w:left w:w="130" w:type="dxa"/>
              <w:bottom w:w="90" w:type="dxa"/>
              <w:right w:w="130" w:type="dxa"/>
            </w:tcMar>
            <w:vAlign w:val="center"/>
          </w:tcPr>
          <w:p w14:paraId="55E46827" w14:textId="77777777" w:rsidR="00D536F2" w:rsidRDefault="00000000">
            <w:pPr>
              <w:spacing w:after="0"/>
            </w:pPr>
            <w:r>
              <w:rPr>
                <w:b/>
                <w:color w:val="FFFFFF"/>
                <w:sz w:val="18"/>
              </w:rPr>
              <w:t>Model</w:t>
            </w:r>
          </w:p>
        </w:tc>
        <w:tc>
          <w:tcPr>
            <w:tcW w:w="6552" w:type="dxa"/>
            <w:shd w:val="clear" w:color="auto" w:fill="1F4D78"/>
            <w:tcMar>
              <w:top w:w="90" w:type="dxa"/>
              <w:left w:w="130" w:type="dxa"/>
              <w:bottom w:w="90" w:type="dxa"/>
              <w:right w:w="130" w:type="dxa"/>
            </w:tcMar>
            <w:vAlign w:val="center"/>
          </w:tcPr>
          <w:p w14:paraId="367C7AD5" w14:textId="77777777" w:rsidR="00D536F2" w:rsidRDefault="00000000">
            <w:pPr>
              <w:spacing w:after="0"/>
              <w:jc w:val="center"/>
            </w:pPr>
            <w:r>
              <w:rPr>
                <w:b/>
                <w:color w:val="FFFFFF"/>
                <w:sz w:val="18"/>
              </w:rPr>
              <w:t>Trigger</w:t>
            </w:r>
          </w:p>
        </w:tc>
      </w:tr>
      <w:tr w:rsidR="00D536F2" w14:paraId="6B33F963" w14:textId="77777777">
        <w:trPr>
          <w:cantSplit/>
          <w:jc w:val="center"/>
        </w:trPr>
        <w:tc>
          <w:tcPr>
            <w:tcW w:w="2880" w:type="dxa"/>
            <w:tcMar>
              <w:top w:w="90" w:type="dxa"/>
              <w:left w:w="130" w:type="dxa"/>
              <w:bottom w:w="90" w:type="dxa"/>
              <w:right w:w="130" w:type="dxa"/>
            </w:tcMar>
            <w:vAlign w:val="center"/>
          </w:tcPr>
          <w:p w14:paraId="52285F3E" w14:textId="77777777" w:rsidR="00D536F2" w:rsidRDefault="00000000">
            <w:pPr>
              <w:spacing w:after="0" w:line="259" w:lineRule="auto"/>
            </w:pPr>
            <w:r>
              <w:rPr>
                <w:sz w:val="18"/>
              </w:rPr>
              <w:t>50%</w:t>
            </w:r>
          </w:p>
        </w:tc>
        <w:tc>
          <w:tcPr>
            <w:tcW w:w="6552" w:type="dxa"/>
            <w:tcMar>
              <w:top w:w="90" w:type="dxa"/>
              <w:left w:w="130" w:type="dxa"/>
              <w:bottom w:w="90" w:type="dxa"/>
              <w:right w:w="130" w:type="dxa"/>
            </w:tcMar>
            <w:vAlign w:val="center"/>
          </w:tcPr>
          <w:p w14:paraId="71DA9FDE" w14:textId="77777777" w:rsidR="00D536F2" w:rsidRDefault="00000000">
            <w:pPr>
              <w:spacing w:after="0" w:line="259" w:lineRule="auto"/>
              <w:jc w:val="center"/>
            </w:pPr>
            <w:r>
              <w:rPr>
                <w:sz w:val="18"/>
              </w:rPr>
              <w:t>Strike ratio &lt; 48%</w:t>
            </w:r>
          </w:p>
        </w:tc>
      </w:tr>
      <w:tr w:rsidR="00D536F2" w14:paraId="2508EF61" w14:textId="77777777">
        <w:trPr>
          <w:cantSplit/>
          <w:jc w:val="center"/>
        </w:trPr>
        <w:tc>
          <w:tcPr>
            <w:tcW w:w="2880" w:type="dxa"/>
            <w:shd w:val="clear" w:color="auto" w:fill="F4F6F9"/>
            <w:tcMar>
              <w:top w:w="90" w:type="dxa"/>
              <w:left w:w="130" w:type="dxa"/>
              <w:bottom w:w="90" w:type="dxa"/>
              <w:right w:w="130" w:type="dxa"/>
            </w:tcMar>
            <w:vAlign w:val="center"/>
          </w:tcPr>
          <w:p w14:paraId="43F340FA" w14:textId="77777777" w:rsidR="00D536F2" w:rsidRDefault="00000000">
            <w:pPr>
              <w:spacing w:after="0" w:line="259" w:lineRule="auto"/>
            </w:pPr>
            <w:r>
              <w:rPr>
                <w:sz w:val="18"/>
              </w:rPr>
              <w:t>60%</w:t>
            </w:r>
          </w:p>
        </w:tc>
        <w:tc>
          <w:tcPr>
            <w:tcW w:w="6552" w:type="dxa"/>
            <w:shd w:val="clear" w:color="auto" w:fill="F4F6F9"/>
            <w:tcMar>
              <w:top w:w="90" w:type="dxa"/>
              <w:left w:w="130" w:type="dxa"/>
              <w:bottom w:w="90" w:type="dxa"/>
              <w:right w:w="130" w:type="dxa"/>
            </w:tcMar>
            <w:vAlign w:val="center"/>
          </w:tcPr>
          <w:p w14:paraId="661093F4" w14:textId="77777777" w:rsidR="00D536F2" w:rsidRDefault="00000000">
            <w:pPr>
              <w:spacing w:after="0" w:line="259" w:lineRule="auto"/>
              <w:jc w:val="center"/>
            </w:pPr>
            <w:r>
              <w:rPr>
                <w:sz w:val="18"/>
              </w:rPr>
              <w:t>Strike ratio &lt; 56%</w:t>
            </w:r>
          </w:p>
        </w:tc>
      </w:tr>
    </w:tbl>
    <w:p w14:paraId="62D419C1" w14:textId="77777777" w:rsidR="00D536F2" w:rsidRDefault="00D536F2">
      <w:pPr>
        <w:spacing w:after="0"/>
      </w:pPr>
    </w:p>
    <w:p w14:paraId="7DECDFD2" w14:textId="77777777" w:rsidR="00D536F2" w:rsidRDefault="00000000">
      <w:pPr>
        <w:pStyle w:val="Heading2"/>
      </w:pPr>
      <w:r>
        <w:t>5.2 New strike and reallocation</w:t>
      </w:r>
    </w:p>
    <w:p w14:paraId="03536BE9" w14:textId="77777777" w:rsidR="00D536F2" w:rsidRDefault="00000000">
      <w:pPr>
        <w:pStyle w:val="ListNumber"/>
        <w:spacing w:after="80"/>
        <w:ind w:left="490" w:hanging="317"/>
      </w:pPr>
      <w:r>
        <w:t>At the trigger day's close, calculate a new strike from that close using the model's 50% or 60% strike target.</w:t>
      </w:r>
    </w:p>
    <w:p w14:paraId="325F7D6C" w14:textId="77777777" w:rsidR="00D536F2" w:rsidRDefault="00000000">
      <w:pPr>
        <w:pStyle w:val="ListNumber"/>
        <w:spacing w:after="80"/>
        <w:ind w:left="490" w:hanging="317"/>
      </w:pPr>
      <w:r>
        <w:t>Round the new strike upward using the same $1 / $2 / $5 strike bands.</w:t>
      </w:r>
    </w:p>
    <w:p w14:paraId="145B5F6C" w14:textId="77777777" w:rsidR="00D536F2" w:rsidRDefault="00000000">
      <w:pPr>
        <w:pStyle w:val="ListNumber"/>
        <w:spacing w:after="80"/>
        <w:ind w:left="490" w:hanging="317"/>
      </w:pPr>
      <w:r>
        <w:t>Calculate the new option value at the trigger day's close using the model's fixed time-value rate.</w:t>
      </w:r>
    </w:p>
    <w:p w14:paraId="10686BC8" w14:textId="77777777" w:rsidR="00D536F2" w:rsidRDefault="00000000">
      <w:pPr>
        <w:pStyle w:val="ListNumber"/>
        <w:spacing w:after="80"/>
        <w:ind w:left="490" w:hanging="317"/>
      </w:pPr>
      <w:r>
        <w:t>On the following trading-day row, divide the preceding close's account value by that new option value and round down to whole model units.</w:t>
      </w:r>
    </w:p>
    <w:p w14:paraId="10FB9E51" w14:textId="77777777" w:rsidR="00D536F2" w:rsidRDefault="00000000">
      <w:pPr>
        <w:pStyle w:val="ListNumber"/>
        <w:spacing w:after="80"/>
        <w:ind w:left="490" w:hanging="317"/>
      </w:pPr>
      <w:r>
        <w:t>Carry forward the remaining amount as cash and value the new position at the current day's close.</w:t>
      </w:r>
    </w:p>
    <w:p w14:paraId="1FF547EB" w14:textId="77777777" w:rsidR="00D536F2" w:rsidRDefault="00000000">
      <w:r>
        <w:t>The model recognizes no additional slippage or gap adjustment between the trigger close and the reallocation recorded on the next row. The reconstructed calculation must follow this sequence to match the workbook exactly.</w:t>
      </w:r>
    </w:p>
    <w:tbl>
      <w:tblPr>
        <w:tblW w:w="0" w:type="auto"/>
        <w:jc w:val="center"/>
        <w:tblLayout w:type="fixed"/>
        <w:tblLook w:val="04A0" w:firstRow="1" w:lastRow="0" w:firstColumn="1" w:lastColumn="0" w:noHBand="0" w:noVBand="1"/>
      </w:tblPr>
      <w:tblGrid>
        <w:gridCol w:w="9432"/>
      </w:tblGrid>
      <w:tr w:rsidR="00D536F2" w14:paraId="78C2F1EA" w14:textId="77777777">
        <w:trPr>
          <w:cantSplit/>
          <w:jc w:val="center"/>
        </w:trPr>
        <w:tc>
          <w:tcPr>
            <w:tcW w:w="9432" w:type="dxa"/>
            <w:shd w:val="clear" w:color="auto" w:fill="E8EEF5"/>
            <w:tcMar>
              <w:top w:w="145" w:type="dxa"/>
              <w:left w:w="180" w:type="dxa"/>
              <w:bottom w:w="140" w:type="dxa"/>
              <w:right w:w="180" w:type="dxa"/>
            </w:tcMar>
            <w:vAlign w:val="center"/>
          </w:tcPr>
          <w:p w14:paraId="1FD4C895" w14:textId="77777777" w:rsidR="00D536F2" w:rsidRDefault="00000000">
            <w:pPr>
              <w:spacing w:after="60"/>
            </w:pPr>
            <w:r>
              <w:rPr>
                <w:rFonts w:ascii="Aptos Display" w:hAnsi="Aptos Display"/>
                <w:b/>
                <w:color w:val="1F4D78"/>
                <w:sz w:val="21"/>
              </w:rPr>
              <w:lastRenderedPageBreak/>
              <w:t>Expiry treatment</w:t>
            </w:r>
          </w:p>
          <w:p w14:paraId="411FB72C" w14:textId="77777777" w:rsidR="00D536F2" w:rsidRDefault="00000000">
            <w:pPr>
              <w:spacing w:after="0"/>
            </w:pPr>
            <w:r>
              <w:t>The tested workbook contains no option expiry dates and no separate roll-out 30 days before expiry. Its only implemented rolls are the price-triggered roll-ups above: 63 for the 50% model and 38 for the 60% model. A backtest that adds expiry-based rolls is a different model and will not reproduce these results.</w:t>
            </w:r>
          </w:p>
        </w:tc>
      </w:tr>
    </w:tbl>
    <w:p w14:paraId="69C7A387" w14:textId="77777777" w:rsidR="00D536F2" w:rsidRDefault="00D536F2">
      <w:pPr>
        <w:spacing w:after="0"/>
      </w:pPr>
    </w:p>
    <w:p w14:paraId="2AD96642" w14:textId="77777777" w:rsidR="00D536F2" w:rsidRDefault="00000000">
      <w:pPr>
        <w:pStyle w:val="Heading1"/>
      </w:pPr>
      <w:r>
        <w:t>6. Exit and completed-trade return</w:t>
      </w:r>
    </w:p>
    <w:p w14:paraId="7134C13F" w14:textId="77777777" w:rsidR="00D536F2" w:rsidRDefault="00000000">
      <w:r>
        <w:t>On an exit day, value the current option at the SPY opening price using the same fixed time-value rate and current strike. Add the proceeds to cash. The resulting cash balance becomes the account value while the model is out of the market.</w:t>
      </w:r>
    </w:p>
    <w:p w14:paraId="0FE694D6" w14:textId="77777777" w:rsidR="00D536F2" w:rsidRDefault="00000000">
      <w:r>
        <w:t>For reporting, a completed-trade return is:</w:t>
      </w:r>
    </w:p>
    <w:p w14:paraId="1BE88E77" w14:textId="77777777" w:rsidR="00D536F2" w:rsidRDefault="00000000">
      <w:pPr>
        <w:jc w:val="center"/>
      </w:pPr>
      <w:r>
        <w:rPr>
          <w:b/>
          <w:color w:val="1F4D78"/>
          <w:sz w:val="22"/>
        </w:rPr>
        <w:t>Trade return = exit account value / entry account value - 1</w:t>
      </w:r>
    </w:p>
    <w:p w14:paraId="43AE31F6" w14:textId="77777777" w:rsidR="00D536F2" w:rsidRDefault="00000000">
      <w:pPr>
        <w:pStyle w:val="ListBullet"/>
        <w:spacing w:after="60"/>
        <w:ind w:left="432" w:hanging="259"/>
      </w:pPr>
      <w:r>
        <w:t>A completed trade is a win when its return is greater than zero.</w:t>
      </w:r>
    </w:p>
    <w:p w14:paraId="0CBF9631" w14:textId="77777777" w:rsidR="00D536F2" w:rsidRDefault="00000000">
      <w:pPr>
        <w:pStyle w:val="ListBullet"/>
        <w:spacing w:after="60"/>
        <w:ind w:left="432" w:hanging="259"/>
      </w:pPr>
      <w:r>
        <w:t>A completed trade is a loss when its return is less than zero.</w:t>
      </w:r>
    </w:p>
    <w:p w14:paraId="2CF197E4" w14:textId="77777777" w:rsidR="00D536F2" w:rsidRDefault="00000000">
      <w:pPr>
        <w:pStyle w:val="ListBullet"/>
        <w:spacing w:after="60"/>
        <w:ind w:left="432" w:hanging="259"/>
      </w:pPr>
      <w:r>
        <w:t>The open trade at 30 June 2026 is neither a completed win nor a completed loss.</w:t>
      </w:r>
    </w:p>
    <w:p w14:paraId="4B5CC13F" w14:textId="77777777" w:rsidR="00D536F2" w:rsidRDefault="00000000">
      <w:pPr>
        <w:pStyle w:val="ListBullet"/>
        <w:spacing w:after="60"/>
        <w:ind w:left="432" w:hanging="259"/>
      </w:pPr>
      <w:r>
        <w:t>Final account value does include the open position marked to the 30 June 2026 close.</w:t>
      </w:r>
    </w:p>
    <w:p w14:paraId="406E694D" w14:textId="77777777" w:rsidR="00D536F2" w:rsidRDefault="00000000">
      <w:pPr>
        <w:pStyle w:val="Heading1"/>
      </w:pPr>
      <w:r>
        <w:t>7. Result definitions</w:t>
      </w:r>
    </w:p>
    <w:tbl>
      <w:tblPr>
        <w:tblW w:w="0" w:type="auto"/>
        <w:jc w:val="center"/>
        <w:tblLayout w:type="fixed"/>
        <w:tblLook w:val="04A0" w:firstRow="1" w:lastRow="0" w:firstColumn="1" w:lastColumn="0" w:noHBand="0" w:noVBand="1"/>
      </w:tblPr>
      <w:tblGrid>
        <w:gridCol w:w="3960"/>
        <w:gridCol w:w="2736"/>
        <w:gridCol w:w="2736"/>
      </w:tblGrid>
      <w:tr w:rsidR="00D536F2" w14:paraId="75A47E4C" w14:textId="77777777">
        <w:trPr>
          <w:cantSplit/>
          <w:tblHeader/>
          <w:jc w:val="center"/>
        </w:trPr>
        <w:tc>
          <w:tcPr>
            <w:tcW w:w="3960" w:type="dxa"/>
            <w:shd w:val="clear" w:color="auto" w:fill="1F4D78"/>
            <w:tcMar>
              <w:top w:w="90" w:type="dxa"/>
              <w:left w:w="130" w:type="dxa"/>
              <w:bottom w:w="90" w:type="dxa"/>
              <w:right w:w="130" w:type="dxa"/>
            </w:tcMar>
            <w:vAlign w:val="center"/>
          </w:tcPr>
          <w:p w14:paraId="66CA7986" w14:textId="77777777" w:rsidR="00D536F2" w:rsidRDefault="00000000">
            <w:pPr>
              <w:spacing w:after="0"/>
            </w:pPr>
            <w:r>
              <w:rPr>
                <w:b/>
                <w:color w:val="FFFFFF"/>
                <w:sz w:val="18"/>
              </w:rPr>
              <w:t>Measure</w:t>
            </w:r>
          </w:p>
        </w:tc>
        <w:tc>
          <w:tcPr>
            <w:tcW w:w="2736" w:type="dxa"/>
            <w:shd w:val="clear" w:color="auto" w:fill="1F4D78"/>
            <w:tcMar>
              <w:top w:w="90" w:type="dxa"/>
              <w:left w:w="130" w:type="dxa"/>
              <w:bottom w:w="90" w:type="dxa"/>
              <w:right w:w="130" w:type="dxa"/>
            </w:tcMar>
            <w:vAlign w:val="center"/>
          </w:tcPr>
          <w:p w14:paraId="00A4FF9F" w14:textId="77777777" w:rsidR="00D536F2" w:rsidRDefault="00000000">
            <w:pPr>
              <w:spacing w:after="0"/>
              <w:jc w:val="center"/>
            </w:pPr>
            <w:r>
              <w:rPr>
                <w:b/>
                <w:color w:val="FFFFFF"/>
                <w:sz w:val="18"/>
              </w:rPr>
              <w:t>50% model</w:t>
            </w:r>
          </w:p>
        </w:tc>
        <w:tc>
          <w:tcPr>
            <w:tcW w:w="2736" w:type="dxa"/>
            <w:shd w:val="clear" w:color="auto" w:fill="1F4D78"/>
            <w:tcMar>
              <w:top w:w="90" w:type="dxa"/>
              <w:left w:w="130" w:type="dxa"/>
              <w:bottom w:w="90" w:type="dxa"/>
              <w:right w:w="130" w:type="dxa"/>
            </w:tcMar>
            <w:vAlign w:val="center"/>
          </w:tcPr>
          <w:p w14:paraId="54EF267D" w14:textId="77777777" w:rsidR="00D536F2" w:rsidRDefault="00000000">
            <w:pPr>
              <w:spacing w:after="0"/>
              <w:jc w:val="center"/>
            </w:pPr>
            <w:r>
              <w:rPr>
                <w:b/>
                <w:color w:val="FFFFFF"/>
                <w:sz w:val="18"/>
              </w:rPr>
              <w:t>60% model</w:t>
            </w:r>
          </w:p>
        </w:tc>
      </w:tr>
      <w:tr w:rsidR="00D536F2" w14:paraId="28E3B92E" w14:textId="77777777">
        <w:trPr>
          <w:cantSplit/>
          <w:jc w:val="center"/>
        </w:trPr>
        <w:tc>
          <w:tcPr>
            <w:tcW w:w="3960" w:type="dxa"/>
            <w:tcMar>
              <w:top w:w="90" w:type="dxa"/>
              <w:left w:w="130" w:type="dxa"/>
              <w:bottom w:w="90" w:type="dxa"/>
              <w:right w:w="130" w:type="dxa"/>
            </w:tcMar>
            <w:vAlign w:val="center"/>
          </w:tcPr>
          <w:p w14:paraId="428E1CB3" w14:textId="77777777" w:rsidR="00D536F2" w:rsidRDefault="00000000">
            <w:pPr>
              <w:spacing w:after="0" w:line="259" w:lineRule="auto"/>
            </w:pPr>
            <w:r>
              <w:rPr>
                <w:sz w:val="18"/>
              </w:rPr>
              <w:t>Final account value</w:t>
            </w:r>
          </w:p>
        </w:tc>
        <w:tc>
          <w:tcPr>
            <w:tcW w:w="2736" w:type="dxa"/>
            <w:tcMar>
              <w:top w:w="90" w:type="dxa"/>
              <w:left w:w="130" w:type="dxa"/>
              <w:bottom w:w="90" w:type="dxa"/>
              <w:right w:w="130" w:type="dxa"/>
            </w:tcMar>
            <w:vAlign w:val="center"/>
          </w:tcPr>
          <w:p w14:paraId="60EFD8DD" w14:textId="77777777" w:rsidR="00D536F2" w:rsidRDefault="00000000">
            <w:pPr>
              <w:spacing w:after="0" w:line="259" w:lineRule="auto"/>
              <w:jc w:val="center"/>
            </w:pPr>
            <w:r>
              <w:rPr>
                <w:sz w:val="18"/>
              </w:rPr>
              <w:t>$161,735.32</w:t>
            </w:r>
          </w:p>
        </w:tc>
        <w:tc>
          <w:tcPr>
            <w:tcW w:w="2736" w:type="dxa"/>
            <w:tcMar>
              <w:top w:w="90" w:type="dxa"/>
              <w:left w:w="130" w:type="dxa"/>
              <w:bottom w:w="90" w:type="dxa"/>
              <w:right w:w="130" w:type="dxa"/>
            </w:tcMar>
            <w:vAlign w:val="center"/>
          </w:tcPr>
          <w:p w14:paraId="6C5F8E51" w14:textId="77777777" w:rsidR="00D536F2" w:rsidRDefault="00000000">
            <w:pPr>
              <w:spacing w:after="0" w:line="259" w:lineRule="auto"/>
              <w:jc w:val="center"/>
            </w:pPr>
            <w:r>
              <w:rPr>
                <w:sz w:val="18"/>
              </w:rPr>
              <w:t>$421,330.26</w:t>
            </w:r>
          </w:p>
        </w:tc>
      </w:tr>
      <w:tr w:rsidR="00D536F2" w14:paraId="1A15E621" w14:textId="77777777">
        <w:trPr>
          <w:cantSplit/>
          <w:jc w:val="center"/>
        </w:trPr>
        <w:tc>
          <w:tcPr>
            <w:tcW w:w="3960" w:type="dxa"/>
            <w:shd w:val="clear" w:color="auto" w:fill="F4F6F9"/>
            <w:tcMar>
              <w:top w:w="90" w:type="dxa"/>
              <w:left w:w="130" w:type="dxa"/>
              <w:bottom w:w="90" w:type="dxa"/>
              <w:right w:w="130" w:type="dxa"/>
            </w:tcMar>
            <w:vAlign w:val="center"/>
          </w:tcPr>
          <w:p w14:paraId="4343E803" w14:textId="77777777" w:rsidR="00D536F2" w:rsidRDefault="00000000">
            <w:pPr>
              <w:spacing w:after="0" w:line="259" w:lineRule="auto"/>
            </w:pPr>
            <w:r>
              <w:rPr>
                <w:sz w:val="18"/>
              </w:rPr>
              <w:t>Completed trades</w:t>
            </w:r>
          </w:p>
        </w:tc>
        <w:tc>
          <w:tcPr>
            <w:tcW w:w="2736" w:type="dxa"/>
            <w:shd w:val="clear" w:color="auto" w:fill="F4F6F9"/>
            <w:tcMar>
              <w:top w:w="90" w:type="dxa"/>
              <w:left w:w="130" w:type="dxa"/>
              <w:bottom w:w="90" w:type="dxa"/>
              <w:right w:w="130" w:type="dxa"/>
            </w:tcMar>
            <w:vAlign w:val="center"/>
          </w:tcPr>
          <w:p w14:paraId="1F288DD0" w14:textId="77777777" w:rsidR="00D536F2" w:rsidRDefault="00000000">
            <w:pPr>
              <w:spacing w:after="0" w:line="259" w:lineRule="auto"/>
              <w:jc w:val="center"/>
            </w:pPr>
            <w:r>
              <w:rPr>
                <w:sz w:val="18"/>
              </w:rPr>
              <w:t>15</w:t>
            </w:r>
          </w:p>
        </w:tc>
        <w:tc>
          <w:tcPr>
            <w:tcW w:w="2736" w:type="dxa"/>
            <w:shd w:val="clear" w:color="auto" w:fill="F4F6F9"/>
            <w:tcMar>
              <w:top w:w="90" w:type="dxa"/>
              <w:left w:w="130" w:type="dxa"/>
              <w:bottom w:w="90" w:type="dxa"/>
              <w:right w:w="130" w:type="dxa"/>
            </w:tcMar>
            <w:vAlign w:val="center"/>
          </w:tcPr>
          <w:p w14:paraId="71D52C6B" w14:textId="77777777" w:rsidR="00D536F2" w:rsidRDefault="00000000">
            <w:pPr>
              <w:spacing w:after="0" w:line="259" w:lineRule="auto"/>
              <w:jc w:val="center"/>
            </w:pPr>
            <w:r>
              <w:rPr>
                <w:sz w:val="18"/>
              </w:rPr>
              <w:t>15</w:t>
            </w:r>
          </w:p>
        </w:tc>
      </w:tr>
      <w:tr w:rsidR="00D536F2" w14:paraId="11564539" w14:textId="77777777">
        <w:trPr>
          <w:cantSplit/>
          <w:jc w:val="center"/>
        </w:trPr>
        <w:tc>
          <w:tcPr>
            <w:tcW w:w="3960" w:type="dxa"/>
            <w:tcMar>
              <w:top w:w="90" w:type="dxa"/>
              <w:left w:w="130" w:type="dxa"/>
              <w:bottom w:w="90" w:type="dxa"/>
              <w:right w:w="130" w:type="dxa"/>
            </w:tcMar>
            <w:vAlign w:val="center"/>
          </w:tcPr>
          <w:p w14:paraId="552A5122" w14:textId="77777777" w:rsidR="00D536F2" w:rsidRDefault="00000000">
            <w:pPr>
              <w:spacing w:after="0" w:line="259" w:lineRule="auto"/>
            </w:pPr>
            <w:r>
              <w:rPr>
                <w:sz w:val="18"/>
              </w:rPr>
              <w:t>Completed wins</w:t>
            </w:r>
          </w:p>
        </w:tc>
        <w:tc>
          <w:tcPr>
            <w:tcW w:w="2736" w:type="dxa"/>
            <w:tcMar>
              <w:top w:w="90" w:type="dxa"/>
              <w:left w:w="130" w:type="dxa"/>
              <w:bottom w:w="90" w:type="dxa"/>
              <w:right w:w="130" w:type="dxa"/>
            </w:tcMar>
            <w:vAlign w:val="center"/>
          </w:tcPr>
          <w:p w14:paraId="53777AB0" w14:textId="77777777" w:rsidR="00D536F2" w:rsidRDefault="00000000">
            <w:pPr>
              <w:spacing w:after="0" w:line="259" w:lineRule="auto"/>
              <w:jc w:val="center"/>
            </w:pPr>
            <w:r>
              <w:rPr>
                <w:sz w:val="18"/>
              </w:rPr>
              <w:t>12</w:t>
            </w:r>
          </w:p>
        </w:tc>
        <w:tc>
          <w:tcPr>
            <w:tcW w:w="2736" w:type="dxa"/>
            <w:tcMar>
              <w:top w:w="90" w:type="dxa"/>
              <w:left w:w="130" w:type="dxa"/>
              <w:bottom w:w="90" w:type="dxa"/>
              <w:right w:w="130" w:type="dxa"/>
            </w:tcMar>
            <w:vAlign w:val="center"/>
          </w:tcPr>
          <w:p w14:paraId="29AA9D03" w14:textId="77777777" w:rsidR="00D536F2" w:rsidRDefault="00000000">
            <w:pPr>
              <w:spacing w:after="0" w:line="259" w:lineRule="auto"/>
              <w:jc w:val="center"/>
            </w:pPr>
            <w:r>
              <w:rPr>
                <w:sz w:val="18"/>
              </w:rPr>
              <w:t>11</w:t>
            </w:r>
          </w:p>
        </w:tc>
      </w:tr>
      <w:tr w:rsidR="00D536F2" w14:paraId="43079CB7" w14:textId="77777777">
        <w:trPr>
          <w:cantSplit/>
          <w:jc w:val="center"/>
        </w:trPr>
        <w:tc>
          <w:tcPr>
            <w:tcW w:w="3960" w:type="dxa"/>
            <w:shd w:val="clear" w:color="auto" w:fill="F4F6F9"/>
            <w:tcMar>
              <w:top w:w="90" w:type="dxa"/>
              <w:left w:w="130" w:type="dxa"/>
              <w:bottom w:w="90" w:type="dxa"/>
              <w:right w:w="130" w:type="dxa"/>
            </w:tcMar>
            <w:vAlign w:val="center"/>
          </w:tcPr>
          <w:p w14:paraId="35AA59F9" w14:textId="77777777" w:rsidR="00D536F2" w:rsidRDefault="00000000">
            <w:pPr>
              <w:spacing w:after="0" w:line="259" w:lineRule="auto"/>
            </w:pPr>
            <w:r>
              <w:rPr>
                <w:sz w:val="18"/>
              </w:rPr>
              <w:t>Completed losses</w:t>
            </w:r>
          </w:p>
        </w:tc>
        <w:tc>
          <w:tcPr>
            <w:tcW w:w="2736" w:type="dxa"/>
            <w:shd w:val="clear" w:color="auto" w:fill="F4F6F9"/>
            <w:tcMar>
              <w:top w:w="90" w:type="dxa"/>
              <w:left w:w="130" w:type="dxa"/>
              <w:bottom w:w="90" w:type="dxa"/>
              <w:right w:w="130" w:type="dxa"/>
            </w:tcMar>
            <w:vAlign w:val="center"/>
          </w:tcPr>
          <w:p w14:paraId="634A7D1F" w14:textId="77777777" w:rsidR="00D536F2" w:rsidRDefault="00000000">
            <w:pPr>
              <w:spacing w:after="0" w:line="259" w:lineRule="auto"/>
              <w:jc w:val="center"/>
            </w:pPr>
            <w:r>
              <w:rPr>
                <w:sz w:val="18"/>
              </w:rPr>
              <w:t>3</w:t>
            </w:r>
          </w:p>
        </w:tc>
        <w:tc>
          <w:tcPr>
            <w:tcW w:w="2736" w:type="dxa"/>
            <w:shd w:val="clear" w:color="auto" w:fill="F4F6F9"/>
            <w:tcMar>
              <w:top w:w="90" w:type="dxa"/>
              <w:left w:w="130" w:type="dxa"/>
              <w:bottom w:w="90" w:type="dxa"/>
              <w:right w:w="130" w:type="dxa"/>
            </w:tcMar>
            <w:vAlign w:val="center"/>
          </w:tcPr>
          <w:p w14:paraId="3BAEFC08" w14:textId="77777777" w:rsidR="00D536F2" w:rsidRDefault="00000000">
            <w:pPr>
              <w:spacing w:after="0" w:line="259" w:lineRule="auto"/>
              <w:jc w:val="center"/>
            </w:pPr>
            <w:r>
              <w:rPr>
                <w:sz w:val="18"/>
              </w:rPr>
              <w:t>4</w:t>
            </w:r>
          </w:p>
        </w:tc>
      </w:tr>
      <w:tr w:rsidR="00D536F2" w14:paraId="26A97231" w14:textId="77777777">
        <w:trPr>
          <w:cantSplit/>
          <w:jc w:val="center"/>
        </w:trPr>
        <w:tc>
          <w:tcPr>
            <w:tcW w:w="3960" w:type="dxa"/>
            <w:tcMar>
              <w:top w:w="90" w:type="dxa"/>
              <w:left w:w="130" w:type="dxa"/>
              <w:bottom w:w="90" w:type="dxa"/>
              <w:right w:w="130" w:type="dxa"/>
            </w:tcMar>
            <w:vAlign w:val="center"/>
          </w:tcPr>
          <w:p w14:paraId="16140235" w14:textId="77777777" w:rsidR="00D536F2" w:rsidRDefault="00000000">
            <w:pPr>
              <w:spacing w:after="0" w:line="259" w:lineRule="auto"/>
            </w:pPr>
            <w:r>
              <w:rPr>
                <w:sz w:val="18"/>
              </w:rPr>
              <w:t>Open trades at cutoff</w:t>
            </w:r>
          </w:p>
        </w:tc>
        <w:tc>
          <w:tcPr>
            <w:tcW w:w="2736" w:type="dxa"/>
            <w:tcMar>
              <w:top w:w="90" w:type="dxa"/>
              <w:left w:w="130" w:type="dxa"/>
              <w:bottom w:w="90" w:type="dxa"/>
              <w:right w:w="130" w:type="dxa"/>
            </w:tcMar>
            <w:vAlign w:val="center"/>
          </w:tcPr>
          <w:p w14:paraId="18A56A0C" w14:textId="77777777" w:rsidR="00D536F2" w:rsidRDefault="00000000">
            <w:pPr>
              <w:spacing w:after="0" w:line="259" w:lineRule="auto"/>
              <w:jc w:val="center"/>
            </w:pPr>
            <w:r>
              <w:rPr>
                <w:sz w:val="18"/>
              </w:rPr>
              <w:t>1</w:t>
            </w:r>
          </w:p>
        </w:tc>
        <w:tc>
          <w:tcPr>
            <w:tcW w:w="2736" w:type="dxa"/>
            <w:tcMar>
              <w:top w:w="90" w:type="dxa"/>
              <w:left w:w="130" w:type="dxa"/>
              <w:bottom w:w="90" w:type="dxa"/>
              <w:right w:w="130" w:type="dxa"/>
            </w:tcMar>
            <w:vAlign w:val="center"/>
          </w:tcPr>
          <w:p w14:paraId="1CE20A14" w14:textId="77777777" w:rsidR="00D536F2" w:rsidRDefault="00000000">
            <w:pPr>
              <w:spacing w:after="0" w:line="259" w:lineRule="auto"/>
              <w:jc w:val="center"/>
            </w:pPr>
            <w:r>
              <w:rPr>
                <w:sz w:val="18"/>
              </w:rPr>
              <w:t>1</w:t>
            </w:r>
          </w:p>
        </w:tc>
      </w:tr>
      <w:tr w:rsidR="00D536F2" w14:paraId="45558FE8" w14:textId="77777777">
        <w:trPr>
          <w:cantSplit/>
          <w:jc w:val="center"/>
        </w:trPr>
        <w:tc>
          <w:tcPr>
            <w:tcW w:w="3960" w:type="dxa"/>
            <w:shd w:val="clear" w:color="auto" w:fill="F4F6F9"/>
            <w:tcMar>
              <w:top w:w="90" w:type="dxa"/>
              <w:left w:w="130" w:type="dxa"/>
              <w:bottom w:w="90" w:type="dxa"/>
              <w:right w:w="130" w:type="dxa"/>
            </w:tcMar>
            <w:vAlign w:val="center"/>
          </w:tcPr>
          <w:p w14:paraId="4D8E7BDF" w14:textId="77777777" w:rsidR="00D536F2" w:rsidRDefault="00000000">
            <w:pPr>
              <w:spacing w:after="0" w:line="259" w:lineRule="auto"/>
            </w:pPr>
            <w:r>
              <w:rPr>
                <w:sz w:val="18"/>
              </w:rPr>
              <w:t>Roll-ups</w:t>
            </w:r>
          </w:p>
        </w:tc>
        <w:tc>
          <w:tcPr>
            <w:tcW w:w="2736" w:type="dxa"/>
            <w:shd w:val="clear" w:color="auto" w:fill="F4F6F9"/>
            <w:tcMar>
              <w:top w:w="90" w:type="dxa"/>
              <w:left w:w="130" w:type="dxa"/>
              <w:bottom w:w="90" w:type="dxa"/>
              <w:right w:w="130" w:type="dxa"/>
            </w:tcMar>
            <w:vAlign w:val="center"/>
          </w:tcPr>
          <w:p w14:paraId="6E32EB15" w14:textId="77777777" w:rsidR="00D536F2" w:rsidRDefault="00000000">
            <w:pPr>
              <w:spacing w:after="0" w:line="259" w:lineRule="auto"/>
              <w:jc w:val="center"/>
            </w:pPr>
            <w:r>
              <w:rPr>
                <w:sz w:val="18"/>
              </w:rPr>
              <w:t>63</w:t>
            </w:r>
          </w:p>
        </w:tc>
        <w:tc>
          <w:tcPr>
            <w:tcW w:w="2736" w:type="dxa"/>
            <w:shd w:val="clear" w:color="auto" w:fill="F4F6F9"/>
            <w:tcMar>
              <w:top w:w="90" w:type="dxa"/>
              <w:left w:w="130" w:type="dxa"/>
              <w:bottom w:w="90" w:type="dxa"/>
              <w:right w:w="130" w:type="dxa"/>
            </w:tcMar>
            <w:vAlign w:val="center"/>
          </w:tcPr>
          <w:p w14:paraId="32717300" w14:textId="77777777" w:rsidR="00D536F2" w:rsidRDefault="00000000">
            <w:pPr>
              <w:spacing w:after="0" w:line="259" w:lineRule="auto"/>
              <w:jc w:val="center"/>
            </w:pPr>
            <w:r>
              <w:rPr>
                <w:sz w:val="18"/>
              </w:rPr>
              <w:t>38</w:t>
            </w:r>
          </w:p>
        </w:tc>
      </w:tr>
    </w:tbl>
    <w:p w14:paraId="7E7E8700" w14:textId="77777777" w:rsidR="00D536F2" w:rsidRDefault="00D536F2">
      <w:pPr>
        <w:spacing w:after="0"/>
      </w:pPr>
    </w:p>
    <w:p w14:paraId="570E1564" w14:textId="77777777" w:rsidR="00D536F2" w:rsidRDefault="00000000">
      <w:r>
        <w:t>Average-win and average-loss measures, where reported, use completed trades only. The open trade is excluded from those averages.</w:t>
      </w:r>
    </w:p>
    <w:p w14:paraId="52578A0C" w14:textId="77777777" w:rsidR="00D536F2" w:rsidRDefault="00000000">
      <w:pPr>
        <w:pStyle w:val="Heading1"/>
      </w:pPr>
      <w:r>
        <w:t>8. Market comparator</w:t>
      </w:r>
    </w:p>
    <w:p w14:paraId="0357DDB5" w14:textId="77777777" w:rsidR="00D536F2" w:rsidRDefault="00000000">
      <w:r>
        <w:t>The market comparator is separate from the SPY option-model calculation. It is the S&amp;P 500 Total Return Index, with dividends reinvested, measured over the same exact dates: 29 January 1993 to 30 June 2026.</w:t>
      </w:r>
    </w:p>
    <w:p w14:paraId="5CE11915" w14:textId="77777777" w:rsidR="00D536F2" w:rsidRDefault="00000000">
      <w:pPr>
        <w:pStyle w:val="ListBullet"/>
        <w:spacing w:after="60"/>
        <w:ind w:left="432" w:hanging="259"/>
      </w:pPr>
      <w:r>
        <w:t>Initial value: $1,000.</w:t>
      </w:r>
    </w:p>
    <w:p w14:paraId="428C1A8A" w14:textId="77777777" w:rsidR="00D536F2" w:rsidRDefault="00000000">
      <w:pPr>
        <w:pStyle w:val="ListBullet"/>
        <w:spacing w:after="60"/>
        <w:ind w:left="432" w:hanging="259"/>
      </w:pPr>
      <w:r>
        <w:t>Start index level: 520.494 on 29 January 1993.</w:t>
      </w:r>
    </w:p>
    <w:p w14:paraId="13E2E6CB" w14:textId="77777777" w:rsidR="00D536F2" w:rsidRDefault="00000000">
      <w:pPr>
        <w:pStyle w:val="ListBullet"/>
        <w:spacing w:after="60"/>
        <w:ind w:left="432" w:hanging="259"/>
      </w:pPr>
      <w:r>
        <w:t>End index level: 16,774.07 on 30 June 2026.</w:t>
      </w:r>
    </w:p>
    <w:p w14:paraId="02BCB83E" w14:textId="77777777" w:rsidR="00D536F2" w:rsidRDefault="00000000">
      <w:pPr>
        <w:pStyle w:val="ListBullet"/>
        <w:spacing w:after="60"/>
        <w:ind w:left="432" w:hanging="259"/>
      </w:pPr>
      <w:r>
        <w:t>Comparator result: approximately $32,227, rounded to the nearest dollar.</w:t>
      </w:r>
    </w:p>
    <w:p w14:paraId="1CF4C25F" w14:textId="77777777" w:rsidR="00D536F2" w:rsidRDefault="00000000">
      <w:r>
        <w:t>This exact-date daily-index comparator replaces the earlier $31,114 monthly estimate derived from a Shiller-based calculator. The earlier figure remains only in the Evidence Register's audit trail.</w:t>
      </w:r>
    </w:p>
    <w:p w14:paraId="74D1718E" w14:textId="77777777" w:rsidR="00D536F2" w:rsidRDefault="00000000">
      <w:pPr>
        <w:pStyle w:val="Heading1"/>
      </w:pPr>
      <w:r>
        <w:lastRenderedPageBreak/>
        <w:t>9. Costs and assumptions not modeled</w:t>
      </w:r>
    </w:p>
    <w:p w14:paraId="21FE4A86" w14:textId="77777777" w:rsidR="00D536F2" w:rsidRDefault="00000000">
      <w:pPr>
        <w:pStyle w:val="ListBullet"/>
        <w:spacing w:after="60"/>
        <w:ind w:left="432" w:hanging="259"/>
      </w:pPr>
      <w:r>
        <w:t>historical option quotes, implied volatility or changing time value;</w:t>
      </w:r>
    </w:p>
    <w:p w14:paraId="337DCCEC" w14:textId="77777777" w:rsidR="00D536F2" w:rsidRDefault="00000000">
      <w:pPr>
        <w:pStyle w:val="ListBullet"/>
        <w:spacing w:after="60"/>
        <w:ind w:left="432" w:hanging="259"/>
      </w:pPr>
      <w:r>
        <w:t>bid-ask spreads, brokerage, commissions, slippage or market impact;</w:t>
      </w:r>
    </w:p>
    <w:p w14:paraId="7C2B5631" w14:textId="77777777" w:rsidR="00D536F2" w:rsidRDefault="00000000">
      <w:pPr>
        <w:pStyle w:val="ListBullet"/>
        <w:spacing w:after="60"/>
        <w:ind w:left="432" w:hanging="259"/>
      </w:pPr>
      <w:r>
        <w:t>taxes;</w:t>
      </w:r>
    </w:p>
    <w:p w14:paraId="25969B8D" w14:textId="77777777" w:rsidR="00D536F2" w:rsidRDefault="00000000">
      <w:pPr>
        <w:pStyle w:val="ListBullet"/>
        <w:spacing w:after="60"/>
        <w:ind w:left="432" w:hanging="259"/>
      </w:pPr>
      <w:r>
        <w:t>interest earned on cash;</w:t>
      </w:r>
    </w:p>
    <w:p w14:paraId="1DDA2C8B" w14:textId="77777777" w:rsidR="00D536F2" w:rsidRDefault="00000000">
      <w:pPr>
        <w:pStyle w:val="ListBullet"/>
        <w:spacing w:after="60"/>
        <w:ind w:left="432" w:hanging="259"/>
      </w:pPr>
      <w:r>
        <w:t>the standard 100-share option contract multiplier;</w:t>
      </w:r>
    </w:p>
    <w:p w14:paraId="55EB8C70" w14:textId="77777777" w:rsidR="00D536F2" w:rsidRDefault="00000000">
      <w:pPr>
        <w:pStyle w:val="ListBullet"/>
        <w:spacing w:after="60"/>
        <w:ind w:left="432" w:hanging="259"/>
      </w:pPr>
      <w:r>
        <w:t>liquidity or position-size constraints;</w:t>
      </w:r>
    </w:p>
    <w:p w14:paraId="48778A84" w14:textId="77777777" w:rsidR="00D536F2" w:rsidRDefault="00000000">
      <w:pPr>
        <w:pStyle w:val="ListBullet"/>
        <w:spacing w:after="60"/>
        <w:ind w:left="432" w:hanging="259"/>
      </w:pPr>
      <w:r>
        <w:t>exercise, assignment, expiration dates or expiry-based roll-outs; and</w:t>
      </w:r>
    </w:p>
    <w:p w14:paraId="2D09BE06" w14:textId="77777777" w:rsidR="00D536F2" w:rsidRDefault="00000000">
      <w:pPr>
        <w:pStyle w:val="ListBullet"/>
        <w:spacing w:after="60"/>
        <w:ind w:left="432" w:hanging="259"/>
      </w:pPr>
      <w:r>
        <w:t>SPY dividends within the option models.</w:t>
      </w:r>
    </w:p>
    <w:p w14:paraId="69CBBE60" w14:textId="77777777" w:rsidR="00D536F2" w:rsidRDefault="00000000">
      <w:r>
        <w:t>These omissions are part of the published hypothetical model. Introducing any of them may be a useful sensitivity test, but it creates a different calculation and should be reported separately from a direct replication.</w:t>
      </w:r>
    </w:p>
    <w:p w14:paraId="48534CAE" w14:textId="77777777" w:rsidR="00D536F2" w:rsidRDefault="00000000">
      <w:pPr>
        <w:pStyle w:val="Heading1"/>
      </w:pPr>
      <w:r>
        <w:t>10. Replication acceptance tests</w:t>
      </w:r>
    </w:p>
    <w:p w14:paraId="3EB186F4" w14:textId="77777777" w:rsidR="00D536F2" w:rsidRDefault="00000000">
      <w:r>
        <w:t>A direct reconstruction passes when it reproduces:</w:t>
      </w:r>
    </w:p>
    <w:p w14:paraId="3B930D04" w14:textId="77777777" w:rsidR="00D536F2" w:rsidRDefault="00000000">
      <w:pPr>
        <w:pStyle w:val="ListBullet"/>
        <w:spacing w:after="60"/>
        <w:ind w:left="432" w:hanging="259"/>
      </w:pPr>
      <w:r>
        <w:t>8,411 identical Date/Open/Close records;</w:t>
      </w:r>
    </w:p>
    <w:p w14:paraId="13672C25" w14:textId="77777777" w:rsidR="00D536F2" w:rsidRDefault="00000000">
      <w:pPr>
        <w:pStyle w:val="ListBullet"/>
        <w:spacing w:after="60"/>
        <w:ind w:left="432" w:hanging="259"/>
      </w:pPr>
      <w:r>
        <w:t>70 raw crosses and 32 confirmations on the same dates and in the same phases;</w:t>
      </w:r>
    </w:p>
    <w:p w14:paraId="78154B2C" w14:textId="77777777" w:rsidR="00D536F2" w:rsidRDefault="00000000">
      <w:pPr>
        <w:pStyle w:val="ListBullet"/>
        <w:spacing w:after="60"/>
        <w:ind w:left="432" w:hanging="259"/>
      </w:pPr>
      <w:r>
        <w:t>16 entries and 15 exits at the same next-day opening prices;</w:t>
      </w:r>
    </w:p>
    <w:p w14:paraId="63F1DEFA" w14:textId="77777777" w:rsidR="00D536F2" w:rsidRDefault="00000000">
      <w:pPr>
        <w:pStyle w:val="ListBullet"/>
        <w:spacing w:after="60"/>
        <w:ind w:left="432" w:hanging="259"/>
      </w:pPr>
      <w:r>
        <w:t>the same actual strikes, roll triggers, new strikes and model-unit quantities;</w:t>
      </w:r>
    </w:p>
    <w:p w14:paraId="510410BC" w14:textId="77777777" w:rsidR="00D536F2" w:rsidRDefault="00000000">
      <w:pPr>
        <w:pStyle w:val="ListBullet"/>
        <w:spacing w:after="60"/>
        <w:ind w:left="432" w:hanging="259"/>
      </w:pPr>
      <w:r>
        <w:t>the same daily cash and account values to the agreed numerical tolerance;</w:t>
      </w:r>
    </w:p>
    <w:p w14:paraId="2402D610" w14:textId="77777777" w:rsidR="00D536F2" w:rsidRDefault="00000000">
      <w:pPr>
        <w:pStyle w:val="ListBullet"/>
        <w:spacing w:after="60"/>
        <w:ind w:left="432" w:hanging="259"/>
      </w:pPr>
      <w:r>
        <w:t>63 roll-ups and $161,735.32 for the 50% model; and</w:t>
      </w:r>
    </w:p>
    <w:p w14:paraId="1BDAEE85" w14:textId="77777777" w:rsidR="00D536F2" w:rsidRDefault="00000000">
      <w:pPr>
        <w:pStyle w:val="ListBullet"/>
        <w:spacing w:after="60"/>
        <w:ind w:left="432" w:hanging="259"/>
      </w:pPr>
      <w:r>
        <w:t>38 roll-ups and $421,330.26 for the 60% model.</w:t>
      </w:r>
    </w:p>
    <w:tbl>
      <w:tblPr>
        <w:tblW w:w="0" w:type="auto"/>
        <w:jc w:val="center"/>
        <w:tblLayout w:type="fixed"/>
        <w:tblLook w:val="04A0" w:firstRow="1" w:lastRow="0" w:firstColumn="1" w:lastColumn="0" w:noHBand="0" w:noVBand="1"/>
      </w:tblPr>
      <w:tblGrid>
        <w:gridCol w:w="9432"/>
      </w:tblGrid>
      <w:tr w:rsidR="00D536F2" w14:paraId="420C5EE7" w14:textId="77777777">
        <w:trPr>
          <w:cantSplit/>
          <w:jc w:val="center"/>
        </w:trPr>
        <w:tc>
          <w:tcPr>
            <w:tcW w:w="9432" w:type="dxa"/>
            <w:shd w:val="clear" w:color="auto" w:fill="F4F6F9"/>
            <w:tcMar>
              <w:top w:w="145" w:type="dxa"/>
              <w:left w:w="180" w:type="dxa"/>
              <w:bottom w:w="140" w:type="dxa"/>
              <w:right w:w="180" w:type="dxa"/>
            </w:tcMar>
            <w:vAlign w:val="center"/>
          </w:tcPr>
          <w:p w14:paraId="38FD1B77" w14:textId="77777777" w:rsidR="00D536F2" w:rsidRDefault="00000000">
            <w:pPr>
              <w:spacing w:after="60"/>
            </w:pPr>
            <w:r>
              <w:rPr>
                <w:rFonts w:ascii="Aptos Display" w:hAnsi="Aptos Display"/>
                <w:b/>
                <w:color w:val="1F4D78"/>
                <w:sz w:val="21"/>
              </w:rPr>
              <w:t>Discrepancies</w:t>
            </w:r>
          </w:p>
          <w:p w14:paraId="61137214" w14:textId="77777777" w:rsidR="00D536F2" w:rsidRDefault="00000000">
            <w:pPr>
              <w:spacing w:after="0"/>
            </w:pPr>
            <w:r>
              <w:t>Do not alter a difference merely to force agreement. Record the date, rule, source value, reconstructed value and calculation responsible. Distinguish a rounding-only difference from one that changes a signal, trade, roll or headline result.</w:t>
            </w:r>
          </w:p>
        </w:tc>
      </w:tr>
    </w:tbl>
    <w:p w14:paraId="6FA1A47F" w14:textId="77777777" w:rsidR="00D536F2" w:rsidRDefault="00D536F2">
      <w:pPr>
        <w:spacing w:after="0"/>
      </w:pPr>
    </w:p>
    <w:p w14:paraId="2730A183" w14:textId="77777777" w:rsidR="00D536F2" w:rsidRDefault="00000000">
      <w:pPr>
        <w:pStyle w:val="Heading1"/>
      </w:pPr>
      <w:r>
        <w:t>11. Verification status</w:t>
      </w:r>
    </w:p>
    <w:p w14:paraId="0FB0DE5B" w14:textId="77777777" w:rsidR="00D536F2" w:rsidRDefault="00000000">
      <w:r>
        <w:t>A fresh computational reconstruction processed the raw Date, Open and Close inputs and then compared its outputs with the supplied formula-visible workbook. It reproduced all tested signals, strikes, roll-ups, quantities, cash balances and daily account values for both models, with zero discrepancies.</w:t>
      </w:r>
    </w:p>
    <w:p w14:paraId="0F4F12A4" w14:textId="77777777" w:rsidR="00D536F2" w:rsidRDefault="00000000">
      <w:r>
        <w:t>This establishes independent computational replication of the workbook. It is not yet an unaffiliated third-party endorsement. The public Replication Pack is intended to enable that further scrutiny.</w:t>
      </w:r>
    </w:p>
    <w:p w14:paraId="678ADF4A" w14:textId="77777777" w:rsidR="00D536F2" w:rsidRDefault="00000000">
      <w:pPr>
        <w:pStyle w:val="Heading1"/>
      </w:pPr>
      <w:r>
        <w:t>12. Governing evidence</w:t>
      </w:r>
    </w:p>
    <w:p w14:paraId="55A4FF2F" w14:textId="77777777" w:rsidR="00D536F2" w:rsidRDefault="00000000">
      <w:r>
        <w:t>If a summary conflicts with this methodology, the formula-visible source workbook and the frozen SPY Evidence Register Version 1.0 govern the published evidence. Any later correction must be recorded in the change log and issued as a new version rather than silently replacing the historical record.</w:t>
      </w:r>
    </w:p>
    <w:sectPr w:rsidR="00D536F2" w:rsidSect="00034616">
      <w:headerReference w:type="default" r:id="rId8"/>
      <w:footerReference w:type="default" r:id="rId9"/>
      <w:headerReference w:type="first" r:id="rId10"/>
      <w:footerReference w:type="first" r:id="rId11"/>
      <w:pgSz w:w="12240" w:h="15840"/>
      <w:pgMar w:top="1123" w:right="1296" w:bottom="1037" w:left="1296" w:header="504" w:footer="50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2E54E" w14:textId="77777777" w:rsidR="006D701A" w:rsidRDefault="006D701A">
      <w:pPr>
        <w:spacing w:after="0" w:line="240" w:lineRule="auto"/>
      </w:pPr>
      <w:r>
        <w:separator/>
      </w:r>
    </w:p>
  </w:endnote>
  <w:endnote w:type="continuationSeparator" w:id="0">
    <w:p w14:paraId="2A3CDC4E" w14:textId="77777777" w:rsidR="006D701A" w:rsidRDefault="006D7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03C29" w14:textId="77777777" w:rsidR="00D536F2" w:rsidRDefault="00000000">
    <w:pPr>
      <w:pStyle w:val="Footer"/>
      <w:jc w:val="center"/>
    </w:pPr>
    <w:r>
      <w:rPr>
        <w:color w:val="5B6570"/>
        <w:sz w:val="16"/>
      </w:rPr>
      <w:t>Draft Version 0.1  |  7 August 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53346" w14:textId="77777777" w:rsidR="00D536F2" w:rsidRDefault="00D53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D1373" w14:textId="77777777" w:rsidR="006D701A" w:rsidRDefault="006D701A">
      <w:pPr>
        <w:spacing w:after="0" w:line="240" w:lineRule="auto"/>
      </w:pPr>
      <w:r>
        <w:separator/>
      </w:r>
    </w:p>
  </w:footnote>
  <w:footnote w:type="continuationSeparator" w:id="0">
    <w:p w14:paraId="73108458" w14:textId="77777777" w:rsidR="006D701A" w:rsidRDefault="006D70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C0EA7" w14:textId="77777777" w:rsidR="00D536F2" w:rsidRDefault="00000000">
    <w:pPr>
      <w:pStyle w:val="Header"/>
      <w:jc w:val="right"/>
    </w:pPr>
    <w:r>
      <w:rPr>
        <w:b/>
        <w:color w:val="5B6570"/>
        <w:sz w:val="16"/>
      </w:rPr>
      <w:t>THE ITM SPY REPLICATION PROJECT  |  METHODOLOGY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24F4E" w14:textId="77777777" w:rsidR="00D536F2" w:rsidRDefault="00D536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33510018">
    <w:abstractNumId w:val="8"/>
  </w:num>
  <w:num w:numId="2" w16cid:durableId="1056273658">
    <w:abstractNumId w:val="6"/>
  </w:num>
  <w:num w:numId="3" w16cid:durableId="264308744">
    <w:abstractNumId w:val="5"/>
  </w:num>
  <w:num w:numId="4" w16cid:durableId="1846896283">
    <w:abstractNumId w:val="4"/>
  </w:num>
  <w:num w:numId="5" w16cid:durableId="1964729061">
    <w:abstractNumId w:val="7"/>
  </w:num>
  <w:num w:numId="6" w16cid:durableId="2076970904">
    <w:abstractNumId w:val="3"/>
  </w:num>
  <w:num w:numId="7" w16cid:durableId="1245188631">
    <w:abstractNumId w:val="2"/>
  </w:num>
  <w:num w:numId="8" w16cid:durableId="1528562606">
    <w:abstractNumId w:val="1"/>
  </w:num>
  <w:num w:numId="9" w16cid:durableId="1566993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5C1554"/>
    <w:rsid w:val="006D701A"/>
    <w:rsid w:val="00AA1D8D"/>
    <w:rsid w:val="00B47730"/>
    <w:rsid w:val="00CB0664"/>
    <w:rsid w:val="00D536F2"/>
    <w:rsid w:val="00FC4FE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B595A9"/>
  <w14:defaultImageDpi w14:val="300"/>
  <w15:docId w15:val="{9EBE9BB9-0958-43DF-B177-5A20FBB4C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71" w:lineRule="auto"/>
    </w:pPr>
    <w:rPr>
      <w:rFonts w:ascii="Aptos" w:hAnsi="Aptos"/>
      <w:color w:val="263645"/>
      <w:sz w:val="20"/>
    </w:rPr>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b/>
      <w:bCs/>
      <w:color w:val="1F4D78"/>
      <w:sz w:val="32"/>
      <w:szCs w:val="28"/>
    </w:rPr>
  </w:style>
  <w:style w:type="paragraph" w:styleId="Heading2">
    <w:name w:val="heading 2"/>
    <w:basedOn w:val="Normal"/>
    <w:next w:val="Normal"/>
    <w:link w:val="Heading2Char"/>
    <w:uiPriority w:val="9"/>
    <w:unhideWhenUsed/>
    <w:qFormat/>
    <w:rsid w:val="00FC693F"/>
    <w:pPr>
      <w:keepNext/>
      <w:keepLines/>
      <w:spacing w:before="220"/>
      <w:outlineLvl w:val="1"/>
    </w:pPr>
    <w:rPr>
      <w:rFonts w:asciiTheme="majorHAnsi" w:eastAsiaTheme="majorEastAsia" w:hAnsiTheme="majorHAnsi" w:cstheme="majorBidi"/>
      <w:b/>
      <w:bCs/>
      <w:color w:val="1F4D78"/>
      <w:sz w:val="25"/>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b/>
      <w:bCs/>
      <w:color w:val="1F4D78"/>
      <w:sz w:val="22"/>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1688</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ITM SPY Replication Pack - Methodology</dc:title>
  <dc:subject>Exact rules for reproducing the SPY backtest</dc:subject>
  <dc:creator>Heather Cullen</dc:creator>
  <cp:keywords>ITM, SPY, replication, backtest, methodology</cp:keywords>
  <dc:description>generated by python-docx</dc:description>
  <cp:lastModifiedBy>Heather</cp:lastModifiedBy>
  <cp:revision>2</cp:revision>
  <dcterms:created xsi:type="dcterms:W3CDTF">2026-08-21T02:53:00Z</dcterms:created>
  <dcterms:modified xsi:type="dcterms:W3CDTF">2026-08-21T02:53:00Z</dcterms:modified>
  <cp:category/>
</cp:coreProperties>
</file>